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7E9D" w14:textId="77777777" w:rsidR="00B34815" w:rsidRDefault="00B34815">
      <w:pPr>
        <w:ind w:left="0" w:hanging="2"/>
      </w:pPr>
    </w:p>
    <w:p w14:paraId="5E2313D7" w14:textId="77777777" w:rsidR="00B34815" w:rsidRDefault="00B34815">
      <w:pPr>
        <w:ind w:left="0" w:hanging="2"/>
      </w:pPr>
    </w:p>
    <w:p w14:paraId="02BD11E6" w14:textId="77777777" w:rsidR="00B34815" w:rsidRDefault="00B34815">
      <w:pPr>
        <w:ind w:left="0" w:hanging="2"/>
      </w:pPr>
    </w:p>
    <w:p w14:paraId="2A646286" w14:textId="77777777" w:rsidR="00B34815" w:rsidRDefault="00B34815">
      <w:pPr>
        <w:ind w:left="0" w:hanging="2"/>
      </w:pPr>
    </w:p>
    <w:p w14:paraId="68246A79" w14:textId="77777777" w:rsidR="00B34815" w:rsidRDefault="00B34815">
      <w:pPr>
        <w:ind w:left="0" w:hanging="2"/>
      </w:pPr>
    </w:p>
    <w:p w14:paraId="581592DA" w14:textId="77777777" w:rsidR="00B34815" w:rsidRDefault="00B34815">
      <w:pPr>
        <w:ind w:left="0" w:hanging="2"/>
      </w:pPr>
    </w:p>
    <w:p w14:paraId="4EAF8871" w14:textId="77777777" w:rsidR="00B34815" w:rsidRDefault="00B34815">
      <w:pPr>
        <w:ind w:left="0" w:hanging="2"/>
      </w:pPr>
    </w:p>
    <w:p w14:paraId="3F122953" w14:textId="77777777" w:rsidR="00B34815" w:rsidRDefault="00B34815">
      <w:pPr>
        <w:ind w:left="0" w:hanging="2"/>
      </w:pPr>
    </w:p>
    <w:p w14:paraId="36C81990" w14:textId="77777777" w:rsidR="00B34815" w:rsidRDefault="00B34815">
      <w:pPr>
        <w:ind w:left="0" w:hanging="2"/>
      </w:pPr>
    </w:p>
    <w:p w14:paraId="35897CEF" w14:textId="77777777" w:rsidR="00B34815" w:rsidRDefault="00B34815">
      <w:pPr>
        <w:ind w:left="0" w:hanging="2"/>
      </w:pPr>
    </w:p>
    <w:p w14:paraId="768AAB92" w14:textId="77777777" w:rsidR="00B34815" w:rsidRPr="00F32D0E" w:rsidRDefault="007213CB">
      <w:pPr>
        <w:ind w:left="-2" w:firstLine="0"/>
        <w:rPr>
          <w:rFonts w:asciiTheme="majorHAnsi" w:eastAsia="Times New Roman" w:hAnsiTheme="majorHAnsi" w:cstheme="majorHAnsi"/>
          <w:color w:val="2E74B5"/>
          <w:sz w:val="52"/>
          <w:szCs w:val="52"/>
        </w:rPr>
      </w:pPr>
      <w:r w:rsidRPr="00F32D0E">
        <w:rPr>
          <w:rFonts w:asciiTheme="majorHAnsi" w:eastAsia="Times New Roman" w:hAnsiTheme="majorHAnsi" w:cstheme="majorHAnsi"/>
          <w:color w:val="2E74B5"/>
          <w:sz w:val="52"/>
          <w:szCs w:val="52"/>
        </w:rPr>
        <w:t xml:space="preserve">U.S. General Services Administration </w:t>
      </w:r>
    </w:p>
    <w:p w14:paraId="40E4FC92" w14:textId="77777777" w:rsidR="00B34815" w:rsidRPr="00F32D0E" w:rsidRDefault="007213CB">
      <w:pPr>
        <w:ind w:left="2" w:hanging="4"/>
        <w:rPr>
          <w:rFonts w:asciiTheme="majorHAnsi" w:eastAsia="Times New Roman" w:hAnsiTheme="majorHAnsi" w:cstheme="majorHAnsi"/>
          <w:color w:val="2E74B5"/>
          <w:sz w:val="36"/>
          <w:szCs w:val="36"/>
        </w:rPr>
      </w:pPr>
      <w:r w:rsidRPr="00F32D0E">
        <w:rPr>
          <w:rFonts w:asciiTheme="majorHAnsi" w:eastAsia="Times New Roman" w:hAnsiTheme="majorHAnsi" w:cstheme="majorHAnsi"/>
          <w:color w:val="2E74B5"/>
          <w:sz w:val="36"/>
          <w:szCs w:val="36"/>
        </w:rPr>
        <w:t xml:space="preserve">Executive Order 13821, “Streamlining and Expediting Requests to Locate Broadband Facilities in Rural America” </w:t>
      </w:r>
    </w:p>
    <w:p w14:paraId="2BBA42AF" w14:textId="61854A25" w:rsidR="00B34815" w:rsidRPr="00F32D0E" w:rsidRDefault="007213CB">
      <w:pPr>
        <w:ind w:left="2" w:hanging="4"/>
        <w:rPr>
          <w:rFonts w:asciiTheme="majorHAnsi" w:eastAsia="Times New Roman" w:hAnsiTheme="majorHAnsi" w:cstheme="majorHAnsi"/>
          <w:color w:val="2E74B5"/>
          <w:sz w:val="36"/>
          <w:szCs w:val="36"/>
        </w:rPr>
      </w:pPr>
      <w:r w:rsidRPr="00F32D0E">
        <w:rPr>
          <w:rFonts w:asciiTheme="majorHAnsi" w:eastAsia="Times New Roman" w:hAnsiTheme="majorHAnsi" w:cstheme="majorHAnsi"/>
          <w:color w:val="2E74B5"/>
          <w:sz w:val="36"/>
          <w:szCs w:val="36"/>
        </w:rPr>
        <w:t>Q</w:t>
      </w:r>
      <w:r w:rsidR="006E2F9D">
        <w:rPr>
          <w:rFonts w:asciiTheme="majorHAnsi" w:eastAsia="Times New Roman" w:hAnsiTheme="majorHAnsi" w:cstheme="majorHAnsi"/>
          <w:color w:val="2E74B5"/>
          <w:sz w:val="36"/>
          <w:szCs w:val="36"/>
        </w:rPr>
        <w:t>1</w:t>
      </w:r>
      <w:r w:rsidRPr="00F32D0E">
        <w:rPr>
          <w:rFonts w:asciiTheme="majorHAnsi" w:eastAsia="Times New Roman" w:hAnsiTheme="majorHAnsi" w:cstheme="majorHAnsi"/>
          <w:color w:val="2E74B5"/>
          <w:sz w:val="36"/>
          <w:szCs w:val="36"/>
        </w:rPr>
        <w:t xml:space="preserve"> FY </w:t>
      </w:r>
      <w:r w:rsidR="00985B19">
        <w:rPr>
          <w:rFonts w:asciiTheme="majorHAnsi" w:eastAsia="Times New Roman" w:hAnsiTheme="majorHAnsi" w:cstheme="majorHAnsi"/>
          <w:color w:val="2E74B5"/>
          <w:sz w:val="36"/>
          <w:szCs w:val="36"/>
        </w:rPr>
        <w:t>20</w:t>
      </w:r>
      <w:r w:rsidRPr="00F32D0E">
        <w:rPr>
          <w:rFonts w:asciiTheme="majorHAnsi" w:eastAsia="Times New Roman" w:hAnsiTheme="majorHAnsi" w:cstheme="majorHAnsi"/>
          <w:color w:val="2E74B5"/>
          <w:sz w:val="36"/>
          <w:szCs w:val="36"/>
        </w:rPr>
        <w:t>2</w:t>
      </w:r>
      <w:r w:rsidR="006E2F9D">
        <w:rPr>
          <w:rFonts w:asciiTheme="majorHAnsi" w:eastAsia="Times New Roman" w:hAnsiTheme="majorHAnsi" w:cstheme="majorHAnsi"/>
          <w:color w:val="2E74B5"/>
          <w:sz w:val="36"/>
          <w:szCs w:val="36"/>
        </w:rPr>
        <w:t>3</w:t>
      </w:r>
      <w:r w:rsidRPr="00F32D0E">
        <w:rPr>
          <w:rFonts w:asciiTheme="majorHAnsi" w:eastAsia="Times New Roman" w:hAnsiTheme="majorHAnsi" w:cstheme="majorHAnsi"/>
          <w:color w:val="2E74B5"/>
          <w:sz w:val="36"/>
          <w:szCs w:val="36"/>
        </w:rPr>
        <w:t xml:space="preserve"> Quarterly Report </w:t>
      </w:r>
    </w:p>
    <w:p w14:paraId="239CFEA8" w14:textId="77777777" w:rsidR="00B34815" w:rsidRDefault="00B34815">
      <w:pPr>
        <w:ind w:left="1" w:hanging="3"/>
        <w:rPr>
          <w:rFonts w:ascii="Times New Roman" w:eastAsia="Times New Roman" w:hAnsi="Times New Roman" w:cs="Times New Roman"/>
          <w:color w:val="2E74B5"/>
          <w:sz w:val="32"/>
          <w:szCs w:val="32"/>
        </w:rPr>
      </w:pPr>
    </w:p>
    <w:p w14:paraId="58E226A8" w14:textId="77777777" w:rsidR="00B34815" w:rsidRDefault="00B34815">
      <w:pPr>
        <w:ind w:left="1" w:hanging="3"/>
        <w:rPr>
          <w:rFonts w:ascii="Times New Roman" w:eastAsia="Times New Roman" w:hAnsi="Times New Roman" w:cs="Times New Roman"/>
          <w:color w:val="2E74B5"/>
          <w:sz w:val="32"/>
          <w:szCs w:val="32"/>
        </w:rPr>
      </w:pPr>
    </w:p>
    <w:p w14:paraId="76F1DAA3" w14:textId="77777777" w:rsidR="00B34815" w:rsidRDefault="00B34815">
      <w:pPr>
        <w:ind w:left="1" w:hanging="3"/>
        <w:rPr>
          <w:rFonts w:ascii="Times New Roman" w:eastAsia="Times New Roman" w:hAnsi="Times New Roman" w:cs="Times New Roman"/>
          <w:color w:val="2E74B5"/>
          <w:sz w:val="32"/>
          <w:szCs w:val="32"/>
        </w:rPr>
      </w:pPr>
    </w:p>
    <w:p w14:paraId="375D96BA" w14:textId="77777777" w:rsidR="00B34815" w:rsidRDefault="00B34815">
      <w:pPr>
        <w:ind w:left="1" w:hanging="3"/>
        <w:rPr>
          <w:rFonts w:ascii="Times New Roman" w:eastAsia="Times New Roman" w:hAnsi="Times New Roman" w:cs="Times New Roman"/>
          <w:color w:val="2E74B5"/>
          <w:sz w:val="32"/>
          <w:szCs w:val="32"/>
        </w:rPr>
      </w:pPr>
    </w:p>
    <w:p w14:paraId="1C6C2C9F" w14:textId="77777777" w:rsidR="00B34815" w:rsidRDefault="00B34815">
      <w:pPr>
        <w:ind w:left="1" w:hanging="3"/>
        <w:rPr>
          <w:rFonts w:ascii="Times New Roman" w:eastAsia="Times New Roman" w:hAnsi="Times New Roman" w:cs="Times New Roman"/>
          <w:color w:val="2E74B5"/>
          <w:sz w:val="32"/>
          <w:szCs w:val="32"/>
        </w:rPr>
      </w:pPr>
    </w:p>
    <w:p w14:paraId="7CF89B70" w14:textId="77777777" w:rsidR="00B34815" w:rsidRDefault="00B34815">
      <w:pPr>
        <w:ind w:left="1" w:hanging="3"/>
        <w:rPr>
          <w:rFonts w:ascii="Times New Roman" w:eastAsia="Times New Roman" w:hAnsi="Times New Roman" w:cs="Times New Roman"/>
          <w:color w:val="2E74B5"/>
          <w:sz w:val="32"/>
          <w:szCs w:val="32"/>
        </w:rPr>
      </w:pPr>
    </w:p>
    <w:p w14:paraId="6870030F" w14:textId="77777777" w:rsidR="00B34815" w:rsidRPr="00F32D0E" w:rsidRDefault="00B34815">
      <w:pPr>
        <w:ind w:left="1" w:hanging="3"/>
        <w:rPr>
          <w:rFonts w:asciiTheme="majorHAnsi" w:eastAsia="Times New Roman" w:hAnsiTheme="majorHAnsi" w:cstheme="majorHAnsi"/>
          <w:color w:val="2E74B5"/>
          <w:sz w:val="32"/>
          <w:szCs w:val="32"/>
        </w:rPr>
      </w:pPr>
    </w:p>
    <w:p w14:paraId="2C323B87" w14:textId="55291BF7" w:rsidR="00B34815" w:rsidRPr="00F32D0E" w:rsidRDefault="007213CB">
      <w:pPr>
        <w:ind w:left="0" w:firstLine="0"/>
        <w:rPr>
          <w:rFonts w:asciiTheme="majorHAnsi" w:eastAsia="Times New Roman" w:hAnsiTheme="majorHAnsi" w:cstheme="majorHAnsi"/>
          <w:color w:val="2E74B5"/>
          <w:sz w:val="24"/>
          <w:szCs w:val="24"/>
        </w:rPr>
      </w:pPr>
      <w:r w:rsidRPr="00F32D0E">
        <w:rPr>
          <w:rFonts w:asciiTheme="majorHAnsi" w:eastAsia="Times New Roman" w:hAnsiTheme="majorHAnsi" w:cstheme="majorHAnsi"/>
          <w:color w:val="2E74B5"/>
          <w:sz w:val="24"/>
          <w:szCs w:val="24"/>
        </w:rPr>
        <w:t>Prepared for the Director of the Office of Management and Budget per the requirements o</w:t>
      </w:r>
      <w:r w:rsidR="007354D9">
        <w:rPr>
          <w:rFonts w:asciiTheme="majorHAnsi" w:eastAsia="Times New Roman" w:hAnsiTheme="majorHAnsi" w:cstheme="majorHAnsi"/>
          <w:color w:val="2E74B5"/>
          <w:sz w:val="24"/>
          <w:szCs w:val="24"/>
        </w:rPr>
        <w:t>f</w:t>
      </w:r>
      <w:r w:rsidRPr="00F32D0E">
        <w:rPr>
          <w:rFonts w:asciiTheme="majorHAnsi" w:eastAsia="Times New Roman" w:hAnsiTheme="majorHAnsi" w:cstheme="majorHAnsi"/>
          <w:color w:val="2E74B5"/>
          <w:sz w:val="24"/>
          <w:szCs w:val="24"/>
        </w:rPr>
        <w:t xml:space="preserve"> subsection 2(e) of Executive Order 13821 </w:t>
      </w:r>
    </w:p>
    <w:p w14:paraId="1E228528" w14:textId="77777777" w:rsidR="00B34815" w:rsidRDefault="00B34815">
      <w:pPr>
        <w:ind w:left="1" w:hanging="3"/>
        <w:jc w:val="center"/>
        <w:rPr>
          <w:rFonts w:ascii="Times New Roman" w:eastAsia="Times New Roman" w:hAnsi="Times New Roman" w:cs="Times New Roman"/>
          <w:sz w:val="28"/>
          <w:szCs w:val="28"/>
        </w:rPr>
      </w:pPr>
    </w:p>
    <w:p w14:paraId="2D5B2494" w14:textId="77777777" w:rsidR="00B34815" w:rsidRDefault="00B34815">
      <w:pPr>
        <w:ind w:left="1" w:hanging="3"/>
        <w:rPr>
          <w:rFonts w:ascii="Times New Roman" w:eastAsia="Times New Roman" w:hAnsi="Times New Roman" w:cs="Times New Roman"/>
          <w:b/>
          <w:sz w:val="28"/>
          <w:szCs w:val="28"/>
        </w:rPr>
      </w:pPr>
    </w:p>
    <w:p w14:paraId="1C96FB77" w14:textId="77777777" w:rsidR="00B34815" w:rsidRDefault="00B34815">
      <w:pPr>
        <w:ind w:left="1" w:hanging="3"/>
        <w:rPr>
          <w:rFonts w:ascii="Times New Roman" w:eastAsia="Times New Roman" w:hAnsi="Times New Roman" w:cs="Times New Roman"/>
          <w:b/>
          <w:sz w:val="28"/>
          <w:szCs w:val="28"/>
        </w:rPr>
      </w:pPr>
    </w:p>
    <w:p w14:paraId="6739B276" w14:textId="219020EC" w:rsidR="00B34815" w:rsidRPr="00F32D0E" w:rsidRDefault="007213CB">
      <w:pPr>
        <w:ind w:left="1" w:hanging="3"/>
        <w:rPr>
          <w:rFonts w:asciiTheme="majorHAnsi" w:eastAsia="Times New Roman" w:hAnsiTheme="majorHAnsi" w:cstheme="majorHAnsi"/>
          <w:sz w:val="28"/>
          <w:szCs w:val="28"/>
        </w:rPr>
      </w:pPr>
      <w:r w:rsidRPr="00F32D0E">
        <w:rPr>
          <w:rFonts w:asciiTheme="majorHAnsi" w:eastAsia="Times New Roman" w:hAnsiTheme="majorHAnsi" w:cstheme="majorHAnsi"/>
          <w:b/>
          <w:sz w:val="28"/>
          <w:szCs w:val="28"/>
        </w:rPr>
        <w:t>Table of Contents</w:t>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r>
      <w:r w:rsidR="006023D4">
        <w:rPr>
          <w:rFonts w:asciiTheme="majorHAnsi" w:eastAsia="Times New Roman" w:hAnsiTheme="majorHAnsi" w:cstheme="majorHAnsi"/>
          <w:b/>
          <w:sz w:val="28"/>
          <w:szCs w:val="28"/>
        </w:rPr>
        <w:tab/>
        <w:t xml:space="preserve">    </w:t>
      </w:r>
    </w:p>
    <w:sdt>
      <w:sdtPr>
        <w:rPr>
          <w:rFonts w:asciiTheme="majorHAnsi" w:hAnsiTheme="majorHAnsi" w:cstheme="majorHAnsi"/>
        </w:rPr>
        <w:id w:val="-773331055"/>
        <w:docPartObj>
          <w:docPartGallery w:val="Table of Contents"/>
          <w:docPartUnique/>
        </w:docPartObj>
      </w:sdtPr>
      <w:sdtContent>
        <w:p w14:paraId="2B80357B" w14:textId="287B8421" w:rsidR="00B34815" w:rsidRPr="00F32D0E" w:rsidRDefault="007213CB" w:rsidP="0027397C">
          <w:pPr>
            <w:pBdr>
              <w:top w:val="nil"/>
              <w:left w:val="nil"/>
              <w:bottom w:val="nil"/>
              <w:right w:val="nil"/>
              <w:between w:val="nil"/>
            </w:pBdr>
            <w:spacing w:after="100"/>
            <w:ind w:left="0" w:hanging="2"/>
            <w:rPr>
              <w:rFonts w:asciiTheme="majorHAnsi" w:hAnsiTheme="majorHAnsi" w:cstheme="majorHAnsi"/>
              <w:color w:val="000000"/>
            </w:rPr>
          </w:pPr>
          <w:r w:rsidRPr="00F32D0E">
            <w:rPr>
              <w:rFonts w:asciiTheme="majorHAnsi" w:hAnsiTheme="majorHAnsi" w:cstheme="majorHAnsi"/>
            </w:rPr>
            <w:fldChar w:fldCharType="begin"/>
          </w:r>
          <w:r w:rsidRPr="00F32D0E">
            <w:rPr>
              <w:rFonts w:asciiTheme="majorHAnsi" w:hAnsiTheme="majorHAnsi" w:cstheme="majorHAnsi"/>
            </w:rPr>
            <w:instrText xml:space="preserve"> TOC \h \u \z </w:instrText>
          </w:r>
          <w:r w:rsidRPr="00F32D0E">
            <w:rPr>
              <w:rFonts w:asciiTheme="majorHAnsi" w:hAnsiTheme="majorHAnsi" w:cstheme="majorHAnsi"/>
            </w:rPr>
            <w:fldChar w:fldCharType="separate"/>
          </w:r>
          <w:hyperlink w:anchor="_gjdgxs">
            <w:r w:rsidRPr="00F32D0E">
              <w:rPr>
                <w:rFonts w:asciiTheme="majorHAnsi" w:eastAsia="Times New Roman" w:hAnsiTheme="majorHAnsi" w:cstheme="majorHAnsi"/>
                <w:color w:val="000000"/>
                <w:sz w:val="24"/>
                <w:szCs w:val="24"/>
              </w:rPr>
              <w:t>I.</w:t>
            </w:r>
          </w:hyperlink>
          <w:r w:rsidRPr="00F32D0E">
            <w:rPr>
              <w:rFonts w:asciiTheme="majorHAnsi" w:eastAsia="Times New Roman" w:hAnsiTheme="majorHAnsi" w:cstheme="majorHAnsi"/>
              <w:color w:val="000000"/>
              <w:sz w:val="24"/>
              <w:szCs w:val="24"/>
            </w:rPr>
            <w:t xml:space="preserve">    Executive Summary ……………………………………………………………………</w:t>
          </w:r>
          <w:r w:rsidR="00106CFA">
            <w:rPr>
              <w:rFonts w:asciiTheme="majorHAnsi" w:eastAsia="Times New Roman" w:hAnsiTheme="majorHAnsi" w:cstheme="majorHAnsi"/>
              <w:color w:val="000000"/>
              <w:sz w:val="24"/>
              <w:szCs w:val="24"/>
            </w:rPr>
            <w:t>…………………</w:t>
          </w:r>
          <w:r w:rsidR="002330F3">
            <w:rPr>
              <w:rFonts w:asciiTheme="majorHAnsi" w:eastAsia="Times New Roman" w:hAnsiTheme="majorHAnsi" w:cstheme="majorHAnsi"/>
              <w:color w:val="000000"/>
              <w:sz w:val="24"/>
              <w:szCs w:val="24"/>
            </w:rPr>
            <w:t>……………</w:t>
          </w:r>
          <w:hyperlink w:anchor="_gjdgxs">
            <w:r w:rsidRPr="00F32D0E">
              <w:rPr>
                <w:rFonts w:asciiTheme="majorHAnsi" w:hAnsiTheme="majorHAnsi" w:cstheme="majorHAnsi"/>
                <w:color w:val="000000"/>
              </w:rPr>
              <w:tab/>
            </w:r>
          </w:hyperlink>
          <w:r w:rsidRPr="00F32D0E">
            <w:rPr>
              <w:rFonts w:asciiTheme="majorHAnsi" w:hAnsiTheme="majorHAnsi" w:cstheme="majorHAnsi"/>
            </w:rPr>
            <w:t>3</w:t>
          </w:r>
        </w:p>
        <w:p w14:paraId="709076A3" w14:textId="19F7E3BC" w:rsidR="00B34815" w:rsidRPr="00F32D0E" w:rsidRDefault="00000000" w:rsidP="0027397C">
          <w:pPr>
            <w:pBdr>
              <w:top w:val="nil"/>
              <w:left w:val="nil"/>
              <w:bottom w:val="nil"/>
              <w:right w:val="nil"/>
              <w:between w:val="nil"/>
            </w:pBdr>
            <w:spacing w:after="100"/>
            <w:ind w:left="0" w:hanging="2"/>
            <w:rPr>
              <w:rFonts w:asciiTheme="majorHAnsi" w:hAnsiTheme="majorHAnsi" w:cstheme="majorHAnsi"/>
              <w:color w:val="000000"/>
            </w:rPr>
          </w:pPr>
          <w:hyperlink w:anchor="_30j0zll">
            <w:r w:rsidR="007213CB" w:rsidRPr="00F32D0E">
              <w:rPr>
                <w:rFonts w:asciiTheme="majorHAnsi" w:eastAsia="Times New Roman" w:hAnsiTheme="majorHAnsi" w:cstheme="majorHAnsi"/>
                <w:color w:val="000000"/>
                <w:sz w:val="24"/>
                <w:szCs w:val="24"/>
              </w:rPr>
              <w:t>II.</w:t>
            </w:r>
          </w:hyperlink>
          <w:r w:rsidR="007213CB" w:rsidRPr="00F32D0E">
            <w:rPr>
              <w:rFonts w:asciiTheme="majorHAnsi" w:eastAsia="Times New Roman" w:hAnsiTheme="majorHAnsi" w:cstheme="majorHAnsi"/>
              <w:color w:val="000000"/>
              <w:sz w:val="24"/>
              <w:szCs w:val="24"/>
            </w:rPr>
            <w:t xml:space="preserve">   Background ……………………………………………………………………………</w:t>
          </w:r>
          <w:r w:rsidR="00106CFA">
            <w:rPr>
              <w:rFonts w:asciiTheme="majorHAnsi" w:eastAsia="Times New Roman" w:hAnsiTheme="majorHAnsi" w:cstheme="majorHAnsi"/>
              <w:color w:val="000000"/>
              <w:sz w:val="24"/>
              <w:szCs w:val="24"/>
            </w:rPr>
            <w:t>……………………….</w:t>
          </w:r>
          <w:hyperlink w:anchor="_30j0zll">
            <w:r w:rsidR="007213CB" w:rsidRPr="00F32D0E">
              <w:rPr>
                <w:rFonts w:asciiTheme="majorHAnsi" w:hAnsiTheme="majorHAnsi" w:cstheme="majorHAnsi"/>
                <w:color w:val="000000"/>
              </w:rPr>
              <w:tab/>
            </w:r>
          </w:hyperlink>
          <w:r w:rsidR="002330F3">
            <w:rPr>
              <w:rFonts w:asciiTheme="majorHAnsi" w:hAnsiTheme="majorHAnsi" w:cstheme="majorHAnsi"/>
              <w:color w:val="000000"/>
            </w:rPr>
            <w:t>…………..</w:t>
          </w:r>
          <w:r w:rsidR="007213CB" w:rsidRPr="00F32D0E">
            <w:rPr>
              <w:rFonts w:asciiTheme="majorHAnsi" w:hAnsiTheme="majorHAnsi" w:cstheme="majorHAnsi"/>
            </w:rPr>
            <w:fldChar w:fldCharType="begin"/>
          </w:r>
          <w:r w:rsidR="007213CB" w:rsidRPr="00F32D0E">
            <w:rPr>
              <w:rFonts w:asciiTheme="majorHAnsi" w:hAnsiTheme="majorHAnsi" w:cstheme="majorHAnsi"/>
            </w:rPr>
            <w:instrText xml:space="preserve"> PAGEREF _30j0zll \h </w:instrText>
          </w:r>
          <w:r w:rsidR="007213CB" w:rsidRPr="00F32D0E">
            <w:rPr>
              <w:rFonts w:asciiTheme="majorHAnsi" w:hAnsiTheme="majorHAnsi" w:cstheme="majorHAnsi"/>
            </w:rPr>
          </w:r>
          <w:r w:rsidR="007213CB" w:rsidRPr="00F32D0E">
            <w:rPr>
              <w:rFonts w:asciiTheme="majorHAnsi" w:hAnsiTheme="majorHAnsi" w:cstheme="majorHAnsi"/>
            </w:rPr>
            <w:fldChar w:fldCharType="separate"/>
          </w:r>
          <w:r w:rsidR="007213CB" w:rsidRPr="00F32D0E">
            <w:rPr>
              <w:rFonts w:asciiTheme="majorHAnsi" w:hAnsiTheme="majorHAnsi" w:cstheme="majorHAnsi"/>
            </w:rPr>
            <w:t>3</w:t>
          </w:r>
          <w:r w:rsidR="007213CB" w:rsidRPr="00F32D0E">
            <w:rPr>
              <w:rFonts w:asciiTheme="majorHAnsi" w:hAnsiTheme="majorHAnsi" w:cstheme="majorHAnsi"/>
            </w:rPr>
            <w:fldChar w:fldCharType="end"/>
          </w:r>
        </w:p>
        <w:p w14:paraId="71244BF0" w14:textId="390B3576" w:rsidR="00B34815" w:rsidRPr="00F32D0E" w:rsidRDefault="00000000" w:rsidP="0027397C">
          <w:pPr>
            <w:pBdr>
              <w:top w:val="nil"/>
              <w:left w:val="nil"/>
              <w:bottom w:val="nil"/>
              <w:right w:val="nil"/>
              <w:between w:val="nil"/>
            </w:pBdr>
            <w:spacing w:after="100"/>
            <w:ind w:left="0" w:hanging="2"/>
            <w:rPr>
              <w:rFonts w:asciiTheme="majorHAnsi" w:hAnsiTheme="majorHAnsi" w:cstheme="majorHAnsi"/>
              <w:color w:val="000000"/>
            </w:rPr>
          </w:pPr>
          <w:hyperlink w:anchor="_1fob9te">
            <w:r w:rsidR="007213CB" w:rsidRPr="00F32D0E">
              <w:rPr>
                <w:rFonts w:asciiTheme="majorHAnsi" w:eastAsia="Times New Roman" w:hAnsiTheme="majorHAnsi" w:cstheme="majorHAnsi"/>
                <w:color w:val="000000"/>
                <w:sz w:val="24"/>
                <w:szCs w:val="24"/>
              </w:rPr>
              <w:t>III.</w:t>
            </w:r>
          </w:hyperlink>
          <w:r w:rsidR="007213CB" w:rsidRPr="00F32D0E">
            <w:rPr>
              <w:rFonts w:asciiTheme="majorHAnsi" w:eastAsia="Times New Roman" w:hAnsiTheme="majorHAnsi" w:cstheme="majorHAnsi"/>
              <w:color w:val="000000"/>
              <w:sz w:val="24"/>
              <w:szCs w:val="24"/>
            </w:rPr>
            <w:t xml:space="preserve">  GSA Reporting Requirements Under Executive Order 13821 ………………………..</w:t>
          </w:r>
          <w:r w:rsidR="00106CFA">
            <w:rPr>
              <w:rFonts w:asciiTheme="majorHAnsi" w:hAnsiTheme="majorHAnsi" w:cstheme="majorHAnsi"/>
              <w:color w:val="000000"/>
            </w:rPr>
            <w:t>...</w:t>
          </w:r>
          <w:r w:rsidR="002330F3">
            <w:rPr>
              <w:rFonts w:asciiTheme="majorHAnsi" w:hAnsiTheme="majorHAnsi" w:cstheme="majorHAnsi"/>
              <w:color w:val="000000"/>
            </w:rPr>
            <w:t>............</w:t>
          </w:r>
          <w:r w:rsidR="0074513C">
            <w:rPr>
              <w:rFonts w:asciiTheme="majorHAnsi" w:hAnsiTheme="majorHAnsi" w:cstheme="majorHAnsi"/>
            </w:rPr>
            <w:t>4</w:t>
          </w:r>
        </w:p>
        <w:p w14:paraId="431A0ED7" w14:textId="4A6AA85C" w:rsidR="0027397C" w:rsidRPr="00F32D0E" w:rsidRDefault="00000000" w:rsidP="0027397C">
          <w:pPr>
            <w:widowControl w:val="0"/>
            <w:pBdr>
              <w:top w:val="nil"/>
              <w:left w:val="nil"/>
              <w:bottom w:val="nil"/>
              <w:right w:val="nil"/>
              <w:between w:val="nil"/>
            </w:pBdr>
            <w:spacing w:after="0" w:line="276" w:lineRule="auto"/>
            <w:ind w:left="0" w:firstLine="0"/>
            <w:rPr>
              <w:rFonts w:asciiTheme="majorHAnsi" w:hAnsiTheme="majorHAnsi" w:cstheme="majorHAnsi"/>
            </w:rPr>
          </w:pPr>
          <w:hyperlink w:anchor="_3znysh7">
            <w:r w:rsidR="007213CB" w:rsidRPr="00F32D0E">
              <w:rPr>
                <w:rFonts w:asciiTheme="majorHAnsi" w:eastAsia="Times New Roman" w:hAnsiTheme="majorHAnsi" w:cstheme="majorHAnsi"/>
                <w:color w:val="000000"/>
                <w:sz w:val="24"/>
                <w:szCs w:val="24"/>
              </w:rPr>
              <w:t>IV.</w:t>
            </w:r>
          </w:hyperlink>
          <w:r w:rsidR="007213CB" w:rsidRPr="00F32D0E">
            <w:rPr>
              <w:rFonts w:asciiTheme="majorHAnsi" w:eastAsia="Times New Roman" w:hAnsiTheme="majorHAnsi" w:cstheme="majorHAnsi"/>
              <w:color w:val="000000"/>
              <w:sz w:val="24"/>
              <w:szCs w:val="24"/>
            </w:rPr>
            <w:t xml:space="preserve">  Data Collection and Reporting Results ………………………………………………..</w:t>
          </w:r>
          <w:hyperlink w:anchor="_3znysh7">
            <w:r w:rsidR="007213CB" w:rsidRPr="00F32D0E">
              <w:rPr>
                <w:rFonts w:asciiTheme="majorHAnsi" w:hAnsiTheme="majorHAnsi" w:cstheme="majorHAnsi"/>
                <w:color w:val="000000"/>
              </w:rPr>
              <w:tab/>
            </w:r>
          </w:hyperlink>
          <w:r w:rsidR="00106CFA">
            <w:rPr>
              <w:rFonts w:asciiTheme="majorHAnsi" w:hAnsiTheme="majorHAnsi" w:cstheme="majorHAnsi"/>
              <w:color w:val="000000"/>
            </w:rPr>
            <w:t>……………</w:t>
          </w:r>
          <w:r w:rsidR="002330F3">
            <w:rPr>
              <w:rFonts w:asciiTheme="majorHAnsi" w:hAnsiTheme="majorHAnsi" w:cstheme="majorHAnsi"/>
              <w:color w:val="000000"/>
            </w:rPr>
            <w:t>………….</w:t>
          </w:r>
          <w:r w:rsidR="002A017D">
            <w:rPr>
              <w:rFonts w:asciiTheme="majorHAnsi" w:hAnsiTheme="majorHAnsi" w:cstheme="majorHAnsi"/>
            </w:rPr>
            <w:t>5</w:t>
          </w:r>
          <w:r w:rsidR="007213CB" w:rsidRPr="00F32D0E">
            <w:rPr>
              <w:rFonts w:asciiTheme="majorHAnsi" w:hAnsiTheme="majorHAnsi" w:cstheme="majorHAnsi"/>
            </w:rPr>
            <w:fldChar w:fldCharType="end"/>
          </w:r>
        </w:p>
        <w:p w14:paraId="6E765469" w14:textId="77777777" w:rsidR="00E922A9" w:rsidRDefault="00E922A9" w:rsidP="00D552CE">
          <w:pPr>
            <w:ind w:left="0" w:firstLine="0"/>
            <w:rPr>
              <w:rFonts w:asciiTheme="majorHAnsi" w:eastAsia="Times New Roman" w:hAnsiTheme="majorHAnsi" w:cstheme="majorHAnsi"/>
              <w:b/>
              <w:sz w:val="28"/>
              <w:szCs w:val="28"/>
            </w:rPr>
          </w:pPr>
        </w:p>
        <w:p w14:paraId="7E2CA241" w14:textId="423B7141" w:rsidR="00D552CE" w:rsidRPr="00F32D0E" w:rsidRDefault="00D552CE" w:rsidP="00D552CE">
          <w:pPr>
            <w:ind w:left="0" w:firstLine="0"/>
            <w:rPr>
              <w:rFonts w:asciiTheme="majorHAnsi" w:eastAsia="Times New Roman" w:hAnsiTheme="majorHAnsi" w:cstheme="majorHAnsi"/>
              <w:b/>
              <w:sz w:val="28"/>
              <w:szCs w:val="28"/>
            </w:rPr>
          </w:pPr>
          <w:r w:rsidRPr="00F32D0E">
            <w:rPr>
              <w:rFonts w:asciiTheme="majorHAnsi" w:eastAsia="Times New Roman" w:hAnsiTheme="majorHAnsi" w:cstheme="majorHAnsi"/>
              <w:b/>
              <w:sz w:val="28"/>
              <w:szCs w:val="28"/>
            </w:rPr>
            <w:t xml:space="preserve">List of </w:t>
          </w:r>
          <w:r w:rsidR="00310BF2">
            <w:rPr>
              <w:rFonts w:asciiTheme="majorHAnsi" w:eastAsia="Times New Roman" w:hAnsiTheme="majorHAnsi" w:cstheme="majorHAnsi"/>
              <w:b/>
              <w:sz w:val="28"/>
              <w:szCs w:val="28"/>
            </w:rPr>
            <w:t xml:space="preserve">Tables and </w:t>
          </w:r>
          <w:r w:rsidRPr="00F32D0E">
            <w:rPr>
              <w:rFonts w:asciiTheme="majorHAnsi" w:eastAsia="Times New Roman" w:hAnsiTheme="majorHAnsi" w:cstheme="majorHAnsi"/>
              <w:b/>
              <w:sz w:val="28"/>
              <w:szCs w:val="28"/>
            </w:rPr>
            <w:t>Figures</w:t>
          </w:r>
        </w:p>
        <w:p w14:paraId="0593FB10" w14:textId="79759A10" w:rsidR="00310BF2" w:rsidRDefault="00310BF2" w:rsidP="00310BF2">
          <w:pPr>
            <w:ind w:left="0" w:hanging="2"/>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Table 1:  Aggregate Summary of Reporting Results.</w:t>
          </w:r>
          <w:r w:rsidRPr="00F32D0E">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w:t>
          </w:r>
          <w:r w:rsidR="00FC5534">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 xml:space="preserve">6 </w:t>
          </w:r>
        </w:p>
        <w:p w14:paraId="115984F0" w14:textId="2C4BC5D3" w:rsidR="00D552CE" w:rsidRPr="00F32D0E" w:rsidRDefault="00D552CE" w:rsidP="00D552CE">
          <w:pPr>
            <w:ind w:left="0" w:hanging="2"/>
            <w:rPr>
              <w:rFonts w:asciiTheme="majorHAnsi" w:eastAsia="Times New Roman" w:hAnsiTheme="majorHAnsi" w:cstheme="majorHAnsi"/>
              <w:color w:val="000000"/>
              <w:sz w:val="24"/>
              <w:szCs w:val="24"/>
            </w:rPr>
          </w:pPr>
          <w:r w:rsidRPr="00F32D0E">
            <w:rPr>
              <w:rFonts w:asciiTheme="majorHAnsi" w:eastAsia="Times New Roman" w:hAnsiTheme="majorHAnsi" w:cstheme="majorHAnsi"/>
              <w:color w:val="000000"/>
              <w:sz w:val="24"/>
              <w:szCs w:val="24"/>
            </w:rPr>
            <w:t xml:space="preserve">Figure 1:  Number of </w:t>
          </w:r>
          <w:r w:rsidR="00FE6D8F">
            <w:rPr>
              <w:rFonts w:asciiTheme="majorHAnsi" w:eastAsia="Times New Roman" w:hAnsiTheme="majorHAnsi" w:cstheme="majorHAnsi"/>
              <w:color w:val="000000"/>
              <w:sz w:val="24"/>
              <w:szCs w:val="24"/>
            </w:rPr>
            <w:t>A</w:t>
          </w:r>
          <w:r w:rsidRPr="00F32D0E">
            <w:rPr>
              <w:rFonts w:asciiTheme="majorHAnsi" w:eastAsia="Times New Roman" w:hAnsiTheme="majorHAnsi" w:cstheme="majorHAnsi"/>
              <w:color w:val="000000"/>
              <w:sz w:val="24"/>
              <w:szCs w:val="24"/>
            </w:rPr>
            <w:t xml:space="preserve">pplications </w:t>
          </w:r>
          <w:r w:rsidR="00FE6D8F">
            <w:rPr>
              <w:rFonts w:asciiTheme="majorHAnsi" w:eastAsia="Times New Roman" w:hAnsiTheme="majorHAnsi" w:cstheme="majorHAnsi"/>
              <w:color w:val="000000"/>
              <w:sz w:val="24"/>
              <w:szCs w:val="24"/>
            </w:rPr>
            <w:t>R</w:t>
          </w:r>
          <w:r w:rsidRPr="00F32D0E">
            <w:rPr>
              <w:rFonts w:asciiTheme="majorHAnsi" w:eastAsia="Times New Roman" w:hAnsiTheme="majorHAnsi" w:cstheme="majorHAnsi"/>
              <w:color w:val="000000"/>
              <w:sz w:val="24"/>
              <w:szCs w:val="24"/>
            </w:rPr>
            <w:t xml:space="preserve">eceived </w:t>
          </w:r>
          <w:r w:rsidR="00FE6D8F">
            <w:rPr>
              <w:rFonts w:asciiTheme="majorHAnsi" w:eastAsia="Times New Roman" w:hAnsiTheme="majorHAnsi" w:cstheme="majorHAnsi"/>
              <w:color w:val="000000"/>
              <w:sz w:val="24"/>
              <w:szCs w:val="24"/>
            </w:rPr>
            <w:t>P</w:t>
          </w:r>
          <w:r w:rsidRPr="00F32D0E">
            <w:rPr>
              <w:rFonts w:asciiTheme="majorHAnsi" w:eastAsia="Times New Roman" w:hAnsiTheme="majorHAnsi" w:cstheme="majorHAnsi"/>
              <w:color w:val="000000"/>
              <w:sz w:val="24"/>
              <w:szCs w:val="24"/>
            </w:rPr>
            <w:t xml:space="preserve">er </w:t>
          </w:r>
          <w:r w:rsidR="00FE6D8F">
            <w:rPr>
              <w:rFonts w:asciiTheme="majorHAnsi" w:eastAsia="Times New Roman" w:hAnsiTheme="majorHAnsi" w:cstheme="majorHAnsi"/>
              <w:color w:val="000000"/>
              <w:sz w:val="24"/>
              <w:szCs w:val="24"/>
            </w:rPr>
            <w:t>Q</w:t>
          </w:r>
          <w:r w:rsidRPr="00F32D0E">
            <w:rPr>
              <w:rFonts w:asciiTheme="majorHAnsi" w:eastAsia="Times New Roman" w:hAnsiTheme="majorHAnsi" w:cstheme="majorHAnsi"/>
              <w:color w:val="000000"/>
              <w:sz w:val="24"/>
              <w:szCs w:val="24"/>
            </w:rPr>
            <w:t>uarter</w:t>
          </w:r>
          <w:r w:rsidR="00462582">
            <w:rPr>
              <w:rFonts w:asciiTheme="majorHAnsi" w:eastAsia="Times New Roman" w:hAnsiTheme="majorHAnsi" w:cstheme="majorHAnsi"/>
              <w:color w:val="000000"/>
              <w:sz w:val="24"/>
              <w:szCs w:val="24"/>
            </w:rPr>
            <w:t>.</w:t>
          </w:r>
          <w:r w:rsidRPr="00F32D0E">
            <w:rPr>
              <w:rFonts w:asciiTheme="majorHAnsi" w:eastAsia="Times New Roman" w:hAnsiTheme="majorHAnsi" w:cstheme="majorHAnsi"/>
              <w:color w:val="000000"/>
              <w:sz w:val="24"/>
              <w:szCs w:val="24"/>
            </w:rPr>
            <w:t>……………………………………</w:t>
          </w:r>
          <w:r>
            <w:rPr>
              <w:rFonts w:asciiTheme="majorHAnsi" w:eastAsia="Times New Roman" w:hAnsiTheme="majorHAnsi" w:cstheme="majorHAnsi"/>
              <w:color w:val="000000"/>
              <w:sz w:val="24"/>
              <w:szCs w:val="24"/>
            </w:rPr>
            <w:t>……………</w:t>
          </w:r>
          <w:proofErr w:type="gramStart"/>
          <w:r w:rsidR="00462582">
            <w:rPr>
              <w:rFonts w:asciiTheme="majorHAnsi" w:eastAsia="Times New Roman" w:hAnsiTheme="majorHAnsi" w:cstheme="majorHAnsi"/>
              <w:color w:val="000000"/>
              <w:sz w:val="24"/>
              <w:szCs w:val="24"/>
            </w:rPr>
            <w:t>.</w:t>
          </w:r>
          <w:r w:rsidR="003C3CFF">
            <w:rPr>
              <w:rFonts w:asciiTheme="majorHAnsi" w:eastAsia="Times New Roman" w:hAnsiTheme="majorHAnsi" w:cstheme="majorHAnsi"/>
              <w:color w:val="000000"/>
              <w:sz w:val="24"/>
              <w:szCs w:val="24"/>
            </w:rPr>
            <w:t>6</w:t>
          </w:r>
          <w:proofErr w:type="gramEnd"/>
        </w:p>
        <w:p w14:paraId="1D1B751D" w14:textId="77777777" w:rsidR="009E758A" w:rsidRDefault="00D552CE" w:rsidP="00FF05D4">
          <w:pPr>
            <w:spacing w:after="0"/>
            <w:ind w:left="0" w:hanging="2"/>
            <w:rPr>
              <w:rFonts w:asciiTheme="majorHAnsi" w:eastAsia="Times New Roman" w:hAnsiTheme="majorHAnsi" w:cstheme="majorHAnsi"/>
              <w:color w:val="000000"/>
              <w:sz w:val="24"/>
              <w:szCs w:val="24"/>
            </w:rPr>
          </w:pPr>
          <w:r w:rsidRPr="00F32D0E">
            <w:rPr>
              <w:rFonts w:asciiTheme="majorHAnsi" w:eastAsia="Times New Roman" w:hAnsiTheme="majorHAnsi" w:cstheme="majorHAnsi"/>
              <w:color w:val="000000"/>
              <w:sz w:val="24"/>
              <w:szCs w:val="24"/>
            </w:rPr>
            <w:t xml:space="preserve">Figure 2: </w:t>
          </w:r>
          <w:r w:rsidR="00B67062">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 xml:space="preserve">Number </w:t>
          </w:r>
          <w:r w:rsidRPr="00F32D0E">
            <w:rPr>
              <w:rFonts w:asciiTheme="majorHAnsi" w:eastAsia="Times New Roman" w:hAnsiTheme="majorHAnsi" w:cstheme="majorHAnsi"/>
              <w:color w:val="000000"/>
              <w:sz w:val="24"/>
              <w:szCs w:val="24"/>
            </w:rPr>
            <w:t xml:space="preserve">of </w:t>
          </w:r>
          <w:r w:rsidR="00FE6D8F">
            <w:rPr>
              <w:rFonts w:asciiTheme="majorHAnsi" w:eastAsia="Times New Roman" w:hAnsiTheme="majorHAnsi" w:cstheme="majorHAnsi"/>
              <w:color w:val="000000"/>
              <w:sz w:val="24"/>
              <w:szCs w:val="24"/>
            </w:rPr>
            <w:t>A</w:t>
          </w:r>
          <w:r w:rsidRPr="00F32D0E">
            <w:rPr>
              <w:rFonts w:asciiTheme="majorHAnsi" w:eastAsia="Times New Roman" w:hAnsiTheme="majorHAnsi" w:cstheme="majorHAnsi"/>
              <w:color w:val="000000"/>
              <w:sz w:val="24"/>
              <w:szCs w:val="24"/>
            </w:rPr>
            <w:t xml:space="preserve">pplications </w:t>
          </w:r>
          <w:r w:rsidR="00FE6D8F">
            <w:rPr>
              <w:rFonts w:asciiTheme="majorHAnsi" w:eastAsia="Times New Roman" w:hAnsiTheme="majorHAnsi" w:cstheme="majorHAnsi"/>
              <w:color w:val="000000"/>
              <w:sz w:val="24"/>
              <w:szCs w:val="24"/>
            </w:rPr>
            <w:t>A</w:t>
          </w:r>
          <w:r w:rsidRPr="00F32D0E">
            <w:rPr>
              <w:rFonts w:asciiTheme="majorHAnsi" w:eastAsia="Times New Roman" w:hAnsiTheme="majorHAnsi" w:cstheme="majorHAnsi"/>
              <w:color w:val="000000"/>
              <w:sz w:val="24"/>
              <w:szCs w:val="24"/>
            </w:rPr>
            <w:t xml:space="preserve">pproved versus </w:t>
          </w:r>
          <w:r w:rsidR="00FE6D8F">
            <w:rPr>
              <w:rFonts w:asciiTheme="majorHAnsi" w:eastAsia="Times New Roman" w:hAnsiTheme="majorHAnsi" w:cstheme="majorHAnsi"/>
              <w:color w:val="000000"/>
              <w:sz w:val="24"/>
              <w:szCs w:val="24"/>
            </w:rPr>
            <w:t>A</w:t>
          </w:r>
          <w:r w:rsidRPr="00F32D0E">
            <w:rPr>
              <w:rFonts w:asciiTheme="majorHAnsi" w:eastAsia="Times New Roman" w:hAnsiTheme="majorHAnsi" w:cstheme="majorHAnsi"/>
              <w:color w:val="000000"/>
              <w:sz w:val="24"/>
              <w:szCs w:val="24"/>
            </w:rPr>
            <w:t>verage</w:t>
          </w:r>
          <w:r w:rsidR="00FE6D8F">
            <w:rPr>
              <w:rFonts w:asciiTheme="majorHAnsi" w:eastAsia="Times New Roman" w:hAnsiTheme="majorHAnsi" w:cstheme="majorHAnsi"/>
              <w:color w:val="000000"/>
              <w:sz w:val="24"/>
              <w:szCs w:val="24"/>
            </w:rPr>
            <w:t xml:space="preserve"> Number of</w:t>
          </w:r>
          <w:r w:rsidRPr="00F32D0E">
            <w:rPr>
              <w:rFonts w:asciiTheme="majorHAnsi" w:eastAsia="Times New Roman" w:hAnsiTheme="majorHAnsi" w:cstheme="majorHAnsi"/>
              <w:color w:val="000000"/>
              <w:sz w:val="24"/>
              <w:szCs w:val="24"/>
            </w:rPr>
            <w:t xml:space="preserve"> </w:t>
          </w:r>
          <w:r w:rsidR="00FE6D8F">
            <w:rPr>
              <w:rFonts w:asciiTheme="majorHAnsi" w:eastAsia="Times New Roman" w:hAnsiTheme="majorHAnsi" w:cstheme="majorHAnsi"/>
              <w:color w:val="000000"/>
              <w:sz w:val="24"/>
              <w:szCs w:val="24"/>
            </w:rPr>
            <w:t>D</w:t>
          </w:r>
          <w:r w:rsidRPr="00F32D0E">
            <w:rPr>
              <w:rFonts w:asciiTheme="majorHAnsi" w:eastAsia="Times New Roman" w:hAnsiTheme="majorHAnsi" w:cstheme="majorHAnsi"/>
              <w:color w:val="000000"/>
              <w:sz w:val="24"/>
              <w:szCs w:val="24"/>
            </w:rPr>
            <w:t>ays</w:t>
          </w:r>
          <w:r w:rsidR="00FE6D8F">
            <w:rPr>
              <w:rFonts w:asciiTheme="majorHAnsi" w:eastAsia="Times New Roman" w:hAnsiTheme="majorHAnsi" w:cstheme="majorHAnsi"/>
              <w:color w:val="000000"/>
              <w:sz w:val="24"/>
              <w:szCs w:val="24"/>
            </w:rPr>
            <w:t xml:space="preserve"> Applications</w:t>
          </w:r>
        </w:p>
        <w:p w14:paraId="073D9BEF" w14:textId="748ED7B5" w:rsidR="00D552CE" w:rsidRPr="00F32D0E" w:rsidRDefault="00D552CE" w:rsidP="00FF05D4">
          <w:pPr>
            <w:spacing w:after="0"/>
            <w:ind w:left="0" w:hanging="2"/>
            <w:rPr>
              <w:rFonts w:asciiTheme="majorHAnsi" w:eastAsia="Times New Roman" w:hAnsiTheme="majorHAnsi" w:cstheme="majorHAnsi"/>
              <w:sz w:val="24"/>
              <w:szCs w:val="24"/>
            </w:rPr>
          </w:pPr>
          <w:r w:rsidRPr="00F32D0E">
            <w:rPr>
              <w:rFonts w:asciiTheme="majorHAnsi" w:eastAsia="Times New Roman" w:hAnsiTheme="majorHAnsi" w:cstheme="majorHAnsi"/>
              <w:color w:val="000000"/>
              <w:sz w:val="24"/>
              <w:szCs w:val="24"/>
            </w:rPr>
            <w:t xml:space="preserve"> </w:t>
          </w:r>
          <w:r w:rsidR="009E758A">
            <w:rPr>
              <w:rFonts w:asciiTheme="majorHAnsi" w:eastAsia="Times New Roman" w:hAnsiTheme="majorHAnsi" w:cstheme="majorHAnsi"/>
              <w:color w:val="000000"/>
              <w:sz w:val="24"/>
              <w:szCs w:val="24"/>
            </w:rPr>
            <w:t xml:space="preserve">                 </w:t>
          </w:r>
          <w:r w:rsidR="00FE6D8F">
            <w:rPr>
              <w:rFonts w:asciiTheme="majorHAnsi" w:eastAsia="Times New Roman" w:hAnsiTheme="majorHAnsi" w:cstheme="majorHAnsi"/>
              <w:color w:val="000000"/>
              <w:sz w:val="24"/>
              <w:szCs w:val="24"/>
            </w:rPr>
            <w:t>P</w:t>
          </w:r>
          <w:r w:rsidRPr="00F32D0E">
            <w:rPr>
              <w:rFonts w:asciiTheme="majorHAnsi" w:eastAsia="Times New Roman" w:hAnsiTheme="majorHAnsi" w:cstheme="majorHAnsi"/>
              <w:color w:val="000000"/>
              <w:sz w:val="24"/>
              <w:szCs w:val="24"/>
            </w:rPr>
            <w:t xml:space="preserve">ending </w:t>
          </w:r>
          <w:r w:rsidR="00FE6D8F">
            <w:rPr>
              <w:rFonts w:asciiTheme="majorHAnsi" w:eastAsia="Times New Roman" w:hAnsiTheme="majorHAnsi" w:cstheme="majorHAnsi"/>
              <w:color w:val="000000"/>
              <w:sz w:val="24"/>
              <w:szCs w:val="24"/>
            </w:rPr>
            <w:t>Prior to</w:t>
          </w:r>
          <w:r>
            <w:rPr>
              <w:rFonts w:asciiTheme="majorHAnsi" w:eastAsia="Times New Roman" w:hAnsiTheme="majorHAnsi" w:cstheme="majorHAnsi"/>
              <w:color w:val="000000"/>
              <w:sz w:val="24"/>
              <w:szCs w:val="24"/>
            </w:rPr>
            <w:t xml:space="preserve"> </w:t>
          </w:r>
          <w:r w:rsidR="00FE6D8F">
            <w:rPr>
              <w:rFonts w:asciiTheme="majorHAnsi" w:eastAsia="Times New Roman" w:hAnsiTheme="majorHAnsi" w:cstheme="majorHAnsi"/>
              <w:color w:val="000000"/>
              <w:sz w:val="24"/>
              <w:szCs w:val="24"/>
            </w:rPr>
            <w:t>A</w:t>
          </w:r>
          <w:r w:rsidRPr="00F32D0E">
            <w:rPr>
              <w:rFonts w:asciiTheme="majorHAnsi" w:eastAsia="Times New Roman" w:hAnsiTheme="majorHAnsi" w:cstheme="majorHAnsi"/>
              <w:color w:val="000000"/>
              <w:sz w:val="24"/>
              <w:szCs w:val="24"/>
            </w:rPr>
            <w:t>pproval……………………………………………………………………………….…</w:t>
          </w:r>
          <w:r>
            <w:rPr>
              <w:rFonts w:asciiTheme="majorHAnsi" w:eastAsia="Times New Roman" w:hAnsiTheme="majorHAnsi" w:cstheme="majorHAnsi"/>
              <w:color w:val="000000"/>
              <w:sz w:val="24"/>
              <w:szCs w:val="24"/>
            </w:rPr>
            <w:t>7</w:t>
          </w:r>
        </w:p>
        <w:p w14:paraId="3B7BAFC4" w14:textId="77777777" w:rsidR="009E758A" w:rsidRDefault="009E758A" w:rsidP="0027397C">
          <w:pPr>
            <w:ind w:left="0" w:firstLine="0"/>
            <w:rPr>
              <w:rFonts w:asciiTheme="majorHAnsi" w:eastAsia="Times New Roman" w:hAnsiTheme="majorHAnsi" w:cstheme="majorHAnsi"/>
              <w:b/>
              <w:sz w:val="28"/>
              <w:szCs w:val="28"/>
            </w:rPr>
          </w:pPr>
        </w:p>
        <w:p w14:paraId="15EC2EFC" w14:textId="4D5E7357" w:rsidR="00226B14" w:rsidRPr="00F32D0E" w:rsidRDefault="00226B14" w:rsidP="0027397C">
          <w:pPr>
            <w:ind w:left="0" w:firstLine="0"/>
            <w:rPr>
              <w:rFonts w:asciiTheme="majorHAnsi" w:eastAsia="Times New Roman" w:hAnsiTheme="majorHAnsi" w:cstheme="majorHAnsi"/>
              <w:b/>
              <w:sz w:val="28"/>
              <w:szCs w:val="28"/>
            </w:rPr>
          </w:pPr>
          <w:r w:rsidRPr="00F32D0E">
            <w:rPr>
              <w:rFonts w:asciiTheme="majorHAnsi" w:eastAsia="Times New Roman" w:hAnsiTheme="majorHAnsi" w:cstheme="majorHAnsi"/>
              <w:b/>
              <w:sz w:val="28"/>
              <w:szCs w:val="28"/>
            </w:rPr>
            <w:t>List of Appendices</w:t>
          </w:r>
        </w:p>
        <w:p w14:paraId="09C68F30" w14:textId="191763A7" w:rsidR="0027397C" w:rsidRPr="00F32D0E" w:rsidRDefault="0027397C" w:rsidP="0027397C">
          <w:pPr>
            <w:ind w:left="0" w:firstLine="0"/>
            <w:rPr>
              <w:rFonts w:asciiTheme="majorHAnsi" w:eastAsia="Times New Roman" w:hAnsiTheme="majorHAnsi" w:cstheme="majorHAnsi"/>
              <w:sz w:val="24"/>
              <w:szCs w:val="24"/>
            </w:rPr>
          </w:pPr>
          <w:r w:rsidRPr="00F32D0E">
            <w:rPr>
              <w:rFonts w:asciiTheme="majorHAnsi" w:eastAsia="Times New Roman" w:hAnsiTheme="majorHAnsi" w:cstheme="majorHAnsi"/>
              <w:sz w:val="24"/>
              <w:szCs w:val="24"/>
            </w:rPr>
            <w:t>APPENDIX A:  Survey Questions………………………………………………………</w:t>
          </w:r>
          <w:r w:rsidR="00226B14" w:rsidRPr="00F32D0E">
            <w:rPr>
              <w:rFonts w:asciiTheme="majorHAnsi" w:eastAsia="Times New Roman" w:hAnsiTheme="majorHAnsi" w:cstheme="majorHAnsi"/>
              <w:sz w:val="24"/>
              <w:szCs w:val="24"/>
            </w:rPr>
            <w:t>…</w:t>
          </w:r>
          <w:r w:rsidR="00106CFA">
            <w:rPr>
              <w:rFonts w:asciiTheme="majorHAnsi" w:eastAsia="Times New Roman" w:hAnsiTheme="majorHAnsi" w:cstheme="majorHAnsi"/>
              <w:sz w:val="24"/>
              <w:szCs w:val="24"/>
            </w:rPr>
            <w:t>………………</w:t>
          </w:r>
          <w:r w:rsidR="002330F3">
            <w:rPr>
              <w:rFonts w:asciiTheme="majorHAnsi" w:eastAsia="Times New Roman" w:hAnsiTheme="majorHAnsi" w:cstheme="majorHAnsi"/>
              <w:sz w:val="24"/>
              <w:szCs w:val="24"/>
            </w:rPr>
            <w:t>…………</w:t>
          </w:r>
          <w:r w:rsidR="007371D2">
            <w:rPr>
              <w:rFonts w:asciiTheme="majorHAnsi" w:eastAsia="Times New Roman" w:hAnsiTheme="majorHAnsi" w:cstheme="majorHAnsi"/>
              <w:sz w:val="24"/>
              <w:szCs w:val="24"/>
            </w:rPr>
            <w:t>…</w:t>
          </w:r>
          <w:r w:rsidR="003C3CFF">
            <w:rPr>
              <w:rFonts w:asciiTheme="majorHAnsi" w:eastAsia="Times New Roman" w:hAnsiTheme="majorHAnsi" w:cstheme="majorHAnsi"/>
              <w:sz w:val="24"/>
              <w:szCs w:val="24"/>
            </w:rPr>
            <w:t>.9</w:t>
          </w:r>
        </w:p>
        <w:p w14:paraId="216FDAEA" w14:textId="680FD081" w:rsidR="0027397C" w:rsidRPr="00F32D0E" w:rsidRDefault="0027397C" w:rsidP="0027397C">
          <w:pPr>
            <w:ind w:left="0" w:hanging="2"/>
            <w:rPr>
              <w:rFonts w:asciiTheme="majorHAnsi" w:eastAsia="Times New Roman" w:hAnsiTheme="majorHAnsi" w:cstheme="majorHAnsi"/>
              <w:sz w:val="24"/>
              <w:szCs w:val="24"/>
            </w:rPr>
          </w:pPr>
          <w:r w:rsidRPr="00F32D0E">
            <w:rPr>
              <w:rFonts w:asciiTheme="majorHAnsi" w:eastAsia="Times New Roman" w:hAnsiTheme="majorHAnsi" w:cstheme="majorHAnsi"/>
              <w:sz w:val="24"/>
              <w:szCs w:val="24"/>
            </w:rPr>
            <w:t>APPENDIX B:  Federal Property Managing Agencies Surveyed…………………………</w:t>
          </w:r>
          <w:r w:rsidR="00106CFA">
            <w:rPr>
              <w:rFonts w:asciiTheme="majorHAnsi" w:eastAsia="Times New Roman" w:hAnsiTheme="majorHAnsi" w:cstheme="majorHAnsi"/>
              <w:sz w:val="24"/>
              <w:szCs w:val="24"/>
            </w:rPr>
            <w:t>…</w:t>
          </w:r>
          <w:r w:rsidR="002330F3">
            <w:rPr>
              <w:rFonts w:asciiTheme="majorHAnsi" w:eastAsia="Times New Roman" w:hAnsiTheme="majorHAnsi" w:cstheme="majorHAnsi"/>
              <w:sz w:val="24"/>
              <w:szCs w:val="24"/>
            </w:rPr>
            <w:t>………</w:t>
          </w:r>
          <w:proofErr w:type="gramStart"/>
          <w:r w:rsidR="007371D2">
            <w:rPr>
              <w:rFonts w:asciiTheme="majorHAnsi" w:eastAsia="Times New Roman" w:hAnsiTheme="majorHAnsi" w:cstheme="majorHAnsi"/>
              <w:sz w:val="24"/>
              <w:szCs w:val="24"/>
            </w:rPr>
            <w:t>….</w:t>
          </w:r>
          <w:r w:rsidR="00333C0A">
            <w:rPr>
              <w:rFonts w:asciiTheme="majorHAnsi" w:eastAsia="Times New Roman" w:hAnsiTheme="majorHAnsi" w:cstheme="majorHAnsi"/>
              <w:sz w:val="24"/>
              <w:szCs w:val="24"/>
            </w:rPr>
            <w:t>.</w:t>
          </w:r>
          <w:proofErr w:type="gramEnd"/>
          <w:r w:rsidRPr="00F32D0E">
            <w:rPr>
              <w:rFonts w:asciiTheme="majorHAnsi" w:eastAsia="Times New Roman" w:hAnsiTheme="majorHAnsi" w:cstheme="majorHAnsi"/>
              <w:sz w:val="24"/>
              <w:szCs w:val="24"/>
            </w:rPr>
            <w:t>1</w:t>
          </w:r>
          <w:r w:rsidR="003C3CFF">
            <w:rPr>
              <w:rFonts w:asciiTheme="majorHAnsi" w:eastAsia="Times New Roman" w:hAnsiTheme="majorHAnsi" w:cstheme="majorHAnsi"/>
              <w:sz w:val="24"/>
              <w:szCs w:val="24"/>
            </w:rPr>
            <w:t>0</w:t>
          </w:r>
        </w:p>
        <w:p w14:paraId="5B2DF881" w14:textId="51C8A178" w:rsidR="0027397C" w:rsidRPr="00F32D0E" w:rsidRDefault="0027397C" w:rsidP="0027397C">
          <w:pPr>
            <w:ind w:left="0" w:hanging="2"/>
            <w:rPr>
              <w:rFonts w:asciiTheme="majorHAnsi" w:eastAsia="Times New Roman" w:hAnsiTheme="majorHAnsi" w:cstheme="majorHAnsi"/>
              <w:sz w:val="24"/>
              <w:szCs w:val="24"/>
            </w:rPr>
          </w:pPr>
          <w:r w:rsidRPr="00F32D0E">
            <w:rPr>
              <w:rFonts w:asciiTheme="majorHAnsi" w:eastAsia="Times New Roman" w:hAnsiTheme="majorHAnsi" w:cstheme="majorHAnsi"/>
              <w:sz w:val="24"/>
              <w:szCs w:val="24"/>
            </w:rPr>
            <w:t>APPENDIX C:  Agencies That Processed Permit Applications</w:t>
          </w:r>
          <w:r w:rsidR="00226B14" w:rsidRPr="00F32D0E">
            <w:rPr>
              <w:rFonts w:asciiTheme="majorHAnsi" w:eastAsia="Times New Roman" w:hAnsiTheme="majorHAnsi" w:cstheme="majorHAnsi"/>
              <w:sz w:val="24"/>
              <w:szCs w:val="24"/>
            </w:rPr>
            <w:t xml:space="preserve"> ……………………………</w:t>
          </w:r>
          <w:r w:rsidR="00106CFA">
            <w:rPr>
              <w:rFonts w:asciiTheme="majorHAnsi" w:eastAsia="Times New Roman" w:hAnsiTheme="majorHAnsi" w:cstheme="majorHAnsi"/>
              <w:sz w:val="24"/>
              <w:szCs w:val="24"/>
            </w:rPr>
            <w:t>…</w:t>
          </w:r>
          <w:r w:rsidR="002330F3">
            <w:rPr>
              <w:rFonts w:asciiTheme="majorHAnsi" w:eastAsia="Times New Roman" w:hAnsiTheme="majorHAnsi" w:cstheme="majorHAnsi"/>
              <w:sz w:val="24"/>
              <w:szCs w:val="24"/>
            </w:rPr>
            <w:t>…………</w:t>
          </w:r>
          <w:proofErr w:type="gramStart"/>
          <w:r w:rsidR="00B67062">
            <w:rPr>
              <w:rFonts w:asciiTheme="majorHAnsi" w:eastAsia="Times New Roman" w:hAnsiTheme="majorHAnsi" w:cstheme="majorHAnsi"/>
              <w:sz w:val="24"/>
              <w:szCs w:val="24"/>
            </w:rPr>
            <w:t>.</w:t>
          </w:r>
          <w:r w:rsidR="00226B14" w:rsidRPr="00F32D0E">
            <w:rPr>
              <w:rFonts w:asciiTheme="majorHAnsi" w:eastAsia="Times New Roman" w:hAnsiTheme="majorHAnsi" w:cstheme="majorHAnsi"/>
              <w:sz w:val="24"/>
              <w:szCs w:val="24"/>
            </w:rPr>
            <w:t>1</w:t>
          </w:r>
          <w:r w:rsidR="003C3CFF">
            <w:rPr>
              <w:rFonts w:asciiTheme="majorHAnsi" w:eastAsia="Times New Roman" w:hAnsiTheme="majorHAnsi" w:cstheme="majorHAnsi"/>
              <w:sz w:val="24"/>
              <w:szCs w:val="24"/>
            </w:rPr>
            <w:t>2</w:t>
          </w:r>
          <w:proofErr w:type="gramEnd"/>
        </w:p>
        <w:p w14:paraId="188238CA" w14:textId="7F865B04" w:rsidR="00B34815" w:rsidRPr="00F32D0E" w:rsidRDefault="00000000" w:rsidP="0027397C">
          <w:pPr>
            <w:widowControl w:val="0"/>
            <w:pBdr>
              <w:top w:val="nil"/>
              <w:left w:val="nil"/>
              <w:bottom w:val="nil"/>
              <w:right w:val="nil"/>
              <w:between w:val="nil"/>
            </w:pBdr>
            <w:spacing w:after="0" w:line="276" w:lineRule="auto"/>
            <w:ind w:left="0" w:firstLine="0"/>
            <w:rPr>
              <w:rFonts w:asciiTheme="majorHAnsi" w:hAnsiTheme="majorHAnsi" w:cstheme="majorHAnsi"/>
            </w:rPr>
          </w:pPr>
        </w:p>
      </w:sdtContent>
    </w:sdt>
    <w:p w14:paraId="52450363" w14:textId="17A5DE13" w:rsidR="0027397C" w:rsidRPr="00F32D0E" w:rsidRDefault="0027397C">
      <w:pPr>
        <w:ind w:left="0" w:hanging="2"/>
        <w:rPr>
          <w:rFonts w:asciiTheme="majorHAnsi" w:eastAsia="Times New Roman" w:hAnsiTheme="majorHAnsi" w:cstheme="majorHAnsi"/>
          <w:color w:val="000000"/>
          <w:sz w:val="24"/>
          <w:szCs w:val="24"/>
        </w:rPr>
      </w:pPr>
      <w:bookmarkStart w:id="0" w:name="_gjdgxs" w:colFirst="0" w:colLast="0"/>
      <w:bookmarkEnd w:id="0"/>
    </w:p>
    <w:p w14:paraId="75FCDDBA" w14:textId="41AB8062" w:rsidR="00226B14" w:rsidRPr="00F32D0E" w:rsidRDefault="00226B14">
      <w:pPr>
        <w:ind w:left="0" w:hanging="2"/>
        <w:rPr>
          <w:rFonts w:asciiTheme="majorHAnsi" w:eastAsia="Times New Roman" w:hAnsiTheme="majorHAnsi" w:cstheme="majorHAnsi"/>
          <w:color w:val="000000"/>
          <w:sz w:val="24"/>
          <w:szCs w:val="24"/>
        </w:rPr>
      </w:pPr>
    </w:p>
    <w:p w14:paraId="5B78F4A0" w14:textId="77777777" w:rsidR="0027397C" w:rsidRPr="00F32D0E" w:rsidRDefault="0027397C">
      <w:pPr>
        <w:ind w:left="0" w:hanging="2"/>
        <w:rPr>
          <w:rFonts w:asciiTheme="majorHAnsi" w:eastAsia="Times New Roman" w:hAnsiTheme="majorHAnsi" w:cstheme="majorHAnsi"/>
          <w:sz w:val="24"/>
          <w:szCs w:val="24"/>
        </w:rPr>
      </w:pPr>
    </w:p>
    <w:p w14:paraId="6F239862" w14:textId="3FEA6BB1" w:rsidR="00B34815" w:rsidRPr="00D552CE" w:rsidRDefault="007213CB" w:rsidP="00D552CE">
      <w:pPr>
        <w:pStyle w:val="Heading1"/>
        <w:numPr>
          <w:ilvl w:val="0"/>
          <w:numId w:val="4"/>
        </w:numPr>
        <w:spacing w:before="240"/>
        <w:ind w:left="1" w:hanging="3"/>
        <w:rPr>
          <w:rFonts w:asciiTheme="majorHAnsi" w:hAnsiTheme="majorHAnsi" w:cstheme="majorHAnsi"/>
        </w:rPr>
      </w:pPr>
      <w:bookmarkStart w:id="1" w:name="_30j0zll" w:colFirst="0" w:colLast="0"/>
      <w:bookmarkEnd w:id="1"/>
      <w:r w:rsidRPr="00F32D0E">
        <w:rPr>
          <w:rFonts w:asciiTheme="majorHAnsi" w:hAnsiTheme="majorHAnsi" w:cstheme="majorHAnsi"/>
        </w:rPr>
        <w:br w:type="page"/>
      </w:r>
      <w:r w:rsidRPr="00D552CE">
        <w:rPr>
          <w:rFonts w:asciiTheme="majorHAnsi" w:hAnsiTheme="majorHAnsi" w:cstheme="majorHAnsi"/>
        </w:rPr>
        <w:lastRenderedPageBreak/>
        <w:t xml:space="preserve">Executive Summary </w:t>
      </w:r>
    </w:p>
    <w:p w14:paraId="0A9F1E91" w14:textId="38E0A855" w:rsidR="009F4E0C" w:rsidRDefault="007213CB" w:rsidP="008A1210">
      <w:pPr>
        <w:ind w:left="0" w:hanging="2"/>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The U.S. General Services Administration (GSA) is submitting this quarterly report to the Office of Management and Budget (OMB) per the requirements of Executive Order (E.O.) 13821, “Streamlining and Expediting Requests to Locate Broadband Facilities in Rural America.”  Pursuant to subsection 2(e) of E.O. 13821, this report provides an aggregated summary of the revised </w:t>
      </w:r>
      <w:r w:rsidR="008A1210">
        <w:rPr>
          <w:rFonts w:ascii="Calibri Light" w:eastAsia="Times New Roman" w:hAnsi="Calibri Light" w:cs="Calibri Light"/>
          <w:sz w:val="24"/>
          <w:szCs w:val="24"/>
        </w:rPr>
        <w:t xml:space="preserve">         </w:t>
      </w:r>
      <w:r w:rsidRPr="003F58EE">
        <w:rPr>
          <w:rFonts w:ascii="Calibri Light" w:eastAsia="Times New Roman" w:hAnsi="Calibri Light" w:cs="Calibri Light"/>
          <w:sz w:val="24"/>
          <w:szCs w:val="24"/>
        </w:rPr>
        <w:t xml:space="preserve">SF-299 application data submitted to GSA by the Federal property managing agencies during the </w:t>
      </w:r>
      <w:r w:rsidR="00422DB2">
        <w:rPr>
          <w:rFonts w:ascii="Calibri Light" w:eastAsia="Times New Roman" w:hAnsi="Calibri Light" w:cs="Calibri Light"/>
          <w:sz w:val="24"/>
          <w:szCs w:val="24"/>
        </w:rPr>
        <w:t>f</w:t>
      </w:r>
      <w:r w:rsidR="00E724FD">
        <w:rPr>
          <w:rFonts w:ascii="Calibri Light" w:eastAsia="Times New Roman" w:hAnsi="Calibri Light" w:cs="Calibri Light"/>
          <w:sz w:val="24"/>
          <w:szCs w:val="24"/>
        </w:rPr>
        <w:t>irst</w:t>
      </w:r>
      <w:r w:rsidRPr="003F58EE">
        <w:rPr>
          <w:rFonts w:ascii="Calibri Light" w:eastAsia="Times New Roman" w:hAnsi="Calibri Light" w:cs="Calibri Light"/>
          <w:sz w:val="24"/>
          <w:szCs w:val="24"/>
        </w:rPr>
        <w:t xml:space="preserve"> quarter</w:t>
      </w:r>
      <w:r w:rsidR="00FE6D8F">
        <w:rPr>
          <w:rFonts w:ascii="Calibri Light" w:eastAsia="Times New Roman" w:hAnsi="Calibri Light" w:cs="Calibri Light"/>
          <w:sz w:val="24"/>
          <w:szCs w:val="24"/>
        </w:rPr>
        <w:t xml:space="preserve"> (Q</w:t>
      </w:r>
      <w:r w:rsidR="00E724FD">
        <w:rPr>
          <w:rFonts w:ascii="Calibri Light" w:eastAsia="Times New Roman" w:hAnsi="Calibri Light" w:cs="Calibri Light"/>
          <w:sz w:val="24"/>
          <w:szCs w:val="24"/>
        </w:rPr>
        <w:t>1</w:t>
      </w:r>
      <w:r w:rsidR="00FE6D8F">
        <w:rPr>
          <w:rFonts w:ascii="Calibri Light" w:eastAsia="Times New Roman" w:hAnsi="Calibri Light" w:cs="Calibri Light"/>
          <w:sz w:val="24"/>
          <w:szCs w:val="24"/>
        </w:rPr>
        <w:t>)</w:t>
      </w:r>
      <w:r w:rsidRPr="003F58EE">
        <w:rPr>
          <w:rFonts w:ascii="Calibri Light" w:eastAsia="Times New Roman" w:hAnsi="Calibri Light" w:cs="Calibri Light"/>
          <w:sz w:val="24"/>
          <w:szCs w:val="24"/>
        </w:rPr>
        <w:t xml:space="preserve"> of </w:t>
      </w:r>
      <w:r w:rsidR="001C177E">
        <w:rPr>
          <w:rFonts w:ascii="Calibri Light" w:eastAsia="Times New Roman" w:hAnsi="Calibri Light" w:cs="Calibri Light"/>
          <w:sz w:val="24"/>
          <w:szCs w:val="24"/>
        </w:rPr>
        <w:t>f</w:t>
      </w:r>
      <w:r w:rsidRPr="003F58EE">
        <w:rPr>
          <w:rFonts w:ascii="Calibri Light" w:eastAsia="Times New Roman" w:hAnsi="Calibri Light" w:cs="Calibri Light"/>
          <w:sz w:val="24"/>
          <w:szCs w:val="24"/>
        </w:rPr>
        <w:t xml:space="preserve">iscal </w:t>
      </w:r>
      <w:r w:rsidR="001C177E">
        <w:rPr>
          <w:rFonts w:ascii="Calibri Light" w:eastAsia="Times New Roman" w:hAnsi="Calibri Light" w:cs="Calibri Light"/>
          <w:sz w:val="24"/>
          <w:szCs w:val="24"/>
        </w:rPr>
        <w:t>y</w:t>
      </w:r>
      <w:r w:rsidRPr="003F58EE">
        <w:rPr>
          <w:rFonts w:ascii="Calibri Light" w:eastAsia="Times New Roman" w:hAnsi="Calibri Light" w:cs="Calibri Light"/>
          <w:sz w:val="24"/>
          <w:szCs w:val="24"/>
        </w:rPr>
        <w:t xml:space="preserve">ear (FY) </w:t>
      </w:r>
      <w:r w:rsidR="00985B19">
        <w:rPr>
          <w:rFonts w:ascii="Calibri Light" w:eastAsia="Times New Roman" w:hAnsi="Calibri Light" w:cs="Calibri Light"/>
          <w:sz w:val="24"/>
          <w:szCs w:val="24"/>
        </w:rPr>
        <w:t>20</w:t>
      </w:r>
      <w:r w:rsidRPr="003F58EE">
        <w:rPr>
          <w:rFonts w:ascii="Calibri Light" w:eastAsia="Times New Roman" w:hAnsi="Calibri Light" w:cs="Calibri Light"/>
          <w:sz w:val="24"/>
          <w:szCs w:val="24"/>
        </w:rPr>
        <w:t>2</w:t>
      </w:r>
      <w:r w:rsidR="00E724FD">
        <w:rPr>
          <w:rFonts w:ascii="Calibri Light" w:eastAsia="Times New Roman" w:hAnsi="Calibri Light" w:cs="Calibri Light"/>
          <w:sz w:val="24"/>
          <w:szCs w:val="24"/>
        </w:rPr>
        <w:t>3</w:t>
      </w:r>
      <w:r w:rsidRPr="003F58EE">
        <w:rPr>
          <w:rFonts w:ascii="Calibri Light" w:eastAsia="Times New Roman" w:hAnsi="Calibri Light" w:cs="Calibri Light"/>
          <w:sz w:val="24"/>
          <w:szCs w:val="24"/>
        </w:rPr>
        <w:t xml:space="preserve">.  The aggregated summary of results includes data on the number of revised SF-299 applications received by each Federal property managing agency for wireless facility siting permits, the number and percentage of applications approved, the number and percentage rejected, the basis for any rejection, and the number of working days each application was pending before being approved or rejected. </w:t>
      </w:r>
    </w:p>
    <w:p w14:paraId="250EA610" w14:textId="77777777" w:rsidR="009F4E0C" w:rsidRPr="003F58EE" w:rsidRDefault="009F4E0C">
      <w:pPr>
        <w:ind w:left="0" w:hanging="2"/>
        <w:jc w:val="both"/>
        <w:rPr>
          <w:rFonts w:ascii="Calibri Light" w:eastAsia="Times New Roman" w:hAnsi="Calibri Light" w:cs="Calibri Light"/>
          <w:sz w:val="24"/>
          <w:szCs w:val="24"/>
        </w:rPr>
      </w:pPr>
    </w:p>
    <w:p w14:paraId="00A9AF3F" w14:textId="77777777" w:rsidR="00B34815" w:rsidRPr="00F32D0E" w:rsidRDefault="007213CB">
      <w:pPr>
        <w:pStyle w:val="Heading1"/>
        <w:numPr>
          <w:ilvl w:val="0"/>
          <w:numId w:val="4"/>
        </w:numPr>
        <w:spacing w:before="240"/>
        <w:ind w:left="1" w:hanging="3"/>
        <w:rPr>
          <w:rFonts w:asciiTheme="majorHAnsi" w:hAnsiTheme="majorHAnsi" w:cstheme="majorHAnsi"/>
        </w:rPr>
      </w:pPr>
      <w:r w:rsidRPr="00F32D0E">
        <w:rPr>
          <w:rFonts w:asciiTheme="majorHAnsi" w:hAnsiTheme="majorHAnsi" w:cstheme="majorHAnsi"/>
        </w:rPr>
        <w:t xml:space="preserve">Background </w:t>
      </w:r>
    </w:p>
    <w:p w14:paraId="08B4A41C" w14:textId="4B888149" w:rsidR="00B34815" w:rsidRPr="003F58EE" w:rsidRDefault="007213CB">
      <w:pPr>
        <w:ind w:left="0" w:hanging="2"/>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On January 8, 2018, the President issued E.O. 13821, “Streamlining and Expediting Requests to Locate Broadband Facilities in Rural America,” to accelerate the deployment and adoption of broadband connectivity in rural America and enable sustainable rural broadband infrastructure projects. </w:t>
      </w:r>
      <w:r w:rsidR="001C177E">
        <w:rPr>
          <w:rFonts w:ascii="Calibri Light" w:eastAsia="Times New Roman" w:hAnsi="Calibri Light" w:cs="Calibri Light"/>
          <w:sz w:val="24"/>
          <w:szCs w:val="24"/>
        </w:rPr>
        <w:t xml:space="preserve"> </w:t>
      </w:r>
      <w:r w:rsidRPr="003F58EE">
        <w:rPr>
          <w:rFonts w:ascii="Calibri Light" w:eastAsia="Times New Roman" w:hAnsi="Calibri Light" w:cs="Calibri Light"/>
          <w:sz w:val="24"/>
          <w:szCs w:val="24"/>
        </w:rPr>
        <w:t>The order directs Federal property managing agencies</w:t>
      </w:r>
      <w:r w:rsidRPr="003F58EE">
        <w:rPr>
          <w:rFonts w:ascii="Calibri Light" w:eastAsia="Times New Roman" w:hAnsi="Calibri Light" w:cs="Calibri Light"/>
          <w:sz w:val="24"/>
          <w:szCs w:val="24"/>
          <w:vertAlign w:val="superscript"/>
        </w:rPr>
        <w:footnoteReference w:id="1"/>
      </w:r>
      <w:r w:rsidRPr="003F58EE">
        <w:rPr>
          <w:rFonts w:ascii="Calibri Light" w:eastAsia="Times New Roman" w:hAnsi="Calibri Light" w:cs="Calibri Light"/>
          <w:sz w:val="24"/>
          <w:szCs w:val="24"/>
        </w:rPr>
        <w:t xml:space="preserve"> to: </w:t>
      </w:r>
    </w:p>
    <w:p w14:paraId="15087DB3" w14:textId="38E36BBE" w:rsidR="00B34815" w:rsidRPr="003F58EE" w:rsidRDefault="007213CB">
      <w:pPr>
        <w:numPr>
          <w:ilvl w:val="0"/>
          <w:numId w:val="6"/>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 xml:space="preserve">seek to reduce barriers to capital </w:t>
      </w:r>
      <w:proofErr w:type="gramStart"/>
      <w:r w:rsidR="00F32D0E" w:rsidRPr="003F58EE">
        <w:rPr>
          <w:rFonts w:ascii="Calibri Light" w:eastAsia="Times New Roman" w:hAnsi="Calibri Light" w:cs="Calibri Light"/>
          <w:color w:val="000000"/>
          <w:sz w:val="24"/>
          <w:szCs w:val="24"/>
        </w:rPr>
        <w:t>investment</w:t>
      </w:r>
      <w:r w:rsidR="00E922A9" w:rsidRPr="003F58EE">
        <w:rPr>
          <w:rFonts w:ascii="Calibri Light" w:eastAsia="Times New Roman" w:hAnsi="Calibri Light" w:cs="Calibri Light"/>
          <w:color w:val="000000"/>
          <w:sz w:val="24"/>
          <w:szCs w:val="24"/>
        </w:rPr>
        <w:t>;</w:t>
      </w:r>
      <w:proofErr w:type="gramEnd"/>
    </w:p>
    <w:p w14:paraId="01CAEB80" w14:textId="02748B3E" w:rsidR="00B34815" w:rsidRPr="003F58EE" w:rsidRDefault="007213CB">
      <w:pPr>
        <w:numPr>
          <w:ilvl w:val="0"/>
          <w:numId w:val="6"/>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 xml:space="preserve">remove obstacles to broadband </w:t>
      </w:r>
      <w:proofErr w:type="gramStart"/>
      <w:r w:rsidR="00F32D0E" w:rsidRPr="003F58EE">
        <w:rPr>
          <w:rFonts w:ascii="Calibri Light" w:eastAsia="Times New Roman" w:hAnsi="Calibri Light" w:cs="Calibri Light"/>
          <w:color w:val="000000"/>
          <w:sz w:val="24"/>
          <w:szCs w:val="24"/>
        </w:rPr>
        <w:t>services</w:t>
      </w:r>
      <w:r w:rsidR="00E922A9" w:rsidRPr="003F58EE">
        <w:rPr>
          <w:rFonts w:ascii="Calibri Light" w:eastAsia="Times New Roman" w:hAnsi="Calibri Light" w:cs="Calibri Light"/>
          <w:color w:val="000000"/>
          <w:sz w:val="24"/>
          <w:szCs w:val="24"/>
        </w:rPr>
        <w:t>;</w:t>
      </w:r>
      <w:proofErr w:type="gramEnd"/>
    </w:p>
    <w:p w14:paraId="60B93074" w14:textId="77777777" w:rsidR="00B34815" w:rsidRPr="003F58EE" w:rsidRDefault="007213CB">
      <w:pPr>
        <w:numPr>
          <w:ilvl w:val="0"/>
          <w:numId w:val="6"/>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 xml:space="preserve">use the GSA Common Form Application, as revised, if necessary, to evaluate requests to locate broadband facilities on Federal property; and </w:t>
      </w:r>
    </w:p>
    <w:p w14:paraId="3B84B503" w14:textId="77777777" w:rsidR="00B34815" w:rsidRPr="003F58EE" w:rsidRDefault="007213CB">
      <w:pPr>
        <w:numPr>
          <w:ilvl w:val="0"/>
          <w:numId w:val="6"/>
        </w:numPr>
        <w:pBdr>
          <w:top w:val="nil"/>
          <w:left w:val="nil"/>
          <w:bottom w:val="nil"/>
          <w:right w:val="nil"/>
          <w:between w:val="nil"/>
        </w:pBdr>
        <w:spacing w:after="0"/>
        <w:jc w:val="both"/>
        <w:rPr>
          <w:rFonts w:ascii="Calibri Light" w:hAnsi="Calibri Light" w:cs="Calibri Light"/>
          <w:color w:val="000000"/>
          <w:sz w:val="24"/>
          <w:szCs w:val="24"/>
        </w:rPr>
      </w:pPr>
      <w:bookmarkStart w:id="2" w:name="_1fob9te" w:colFirst="0" w:colLast="0"/>
      <w:bookmarkEnd w:id="2"/>
      <w:r w:rsidRPr="003F58EE">
        <w:rPr>
          <w:rFonts w:ascii="Calibri Light" w:eastAsia="Times New Roman" w:hAnsi="Calibri Light" w:cs="Calibri Light"/>
          <w:color w:val="000000"/>
          <w:sz w:val="24"/>
          <w:szCs w:val="24"/>
        </w:rPr>
        <w:t>report to GSA on a quarterly basis regarding their use of the Common Form Application.</w:t>
      </w:r>
    </w:p>
    <w:p w14:paraId="6D21053C" w14:textId="77777777" w:rsidR="00B34815" w:rsidRPr="003F58EE" w:rsidRDefault="00B34815">
      <w:pPr>
        <w:pBdr>
          <w:top w:val="nil"/>
          <w:left w:val="nil"/>
          <w:bottom w:val="nil"/>
          <w:right w:val="nil"/>
          <w:between w:val="nil"/>
        </w:pBdr>
        <w:spacing w:after="0"/>
        <w:ind w:left="0" w:firstLine="0"/>
        <w:jc w:val="both"/>
        <w:rPr>
          <w:rFonts w:ascii="Calibri Light" w:eastAsia="Times New Roman" w:hAnsi="Calibri Light" w:cs="Calibri Light"/>
          <w:color w:val="000000"/>
          <w:sz w:val="24"/>
          <w:szCs w:val="24"/>
        </w:rPr>
      </w:pPr>
    </w:p>
    <w:p w14:paraId="26D2C423" w14:textId="184C9695" w:rsidR="00B34815" w:rsidRDefault="007213CB">
      <w:pPr>
        <w:ind w:left="0" w:hanging="2"/>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Section 6409 of the </w:t>
      </w:r>
      <w:r w:rsidR="00CA0EBF" w:rsidRPr="003F58EE">
        <w:rPr>
          <w:rFonts w:ascii="Calibri Light" w:eastAsia="Times New Roman" w:hAnsi="Calibri Light" w:cs="Calibri Light"/>
          <w:sz w:val="24"/>
          <w:szCs w:val="24"/>
        </w:rPr>
        <w:t>Middle</w:t>
      </w:r>
      <w:r w:rsidR="00CA0EBF">
        <w:rPr>
          <w:rFonts w:ascii="Calibri Light" w:eastAsia="Times New Roman" w:hAnsi="Calibri Light" w:cs="Calibri Light"/>
          <w:sz w:val="24"/>
          <w:szCs w:val="24"/>
        </w:rPr>
        <w:t>-Class</w:t>
      </w:r>
      <w:r w:rsidRPr="003F58EE">
        <w:rPr>
          <w:rFonts w:ascii="Calibri Light" w:eastAsia="Times New Roman" w:hAnsi="Calibri Light" w:cs="Calibri Light"/>
          <w:sz w:val="24"/>
          <w:szCs w:val="24"/>
        </w:rPr>
        <w:t xml:space="preserve"> Tax Relief and Job Creation Act of 2012 (Public Law</w:t>
      </w:r>
      <w:r w:rsidR="001C177E">
        <w:rPr>
          <w:rFonts w:ascii="Calibri Light" w:eastAsia="Times New Roman" w:hAnsi="Calibri Light" w:cs="Calibri Light"/>
          <w:sz w:val="24"/>
          <w:szCs w:val="24"/>
        </w:rPr>
        <w:t xml:space="preserve"> No.</w:t>
      </w:r>
      <w:r w:rsidRPr="003F58EE">
        <w:rPr>
          <w:rFonts w:ascii="Calibri Light" w:eastAsia="Times New Roman" w:hAnsi="Calibri Light" w:cs="Calibri Light"/>
          <w:sz w:val="24"/>
          <w:szCs w:val="24"/>
        </w:rPr>
        <w:t xml:space="preserve"> 112-96) requires, among other things, that GSA develop a common form and master contract for siting wireless infrastructure on buildings and other property owned by the Federal Government.  </w:t>
      </w:r>
      <w:r w:rsidR="008A1210">
        <w:rPr>
          <w:rFonts w:ascii="Calibri Light" w:eastAsia="Times New Roman" w:hAnsi="Calibri Light" w:cs="Calibri Light"/>
          <w:sz w:val="24"/>
          <w:szCs w:val="24"/>
        </w:rPr>
        <w:t xml:space="preserve">       </w:t>
      </w:r>
      <w:r w:rsidRPr="003F58EE">
        <w:rPr>
          <w:rFonts w:ascii="Calibri Light" w:eastAsia="Times New Roman" w:hAnsi="Calibri Light" w:cs="Calibri Light"/>
          <w:sz w:val="24"/>
          <w:szCs w:val="24"/>
        </w:rPr>
        <w:t>E.O. 13821 expands on section 6409 in several ways, including the requirement for GSA and Federal property managing agencies to report quarterly on the number of Common Form Applications received, the number and percentage approved, the number and percentage rejected, the basis for any rejection, and the number of working days each application was pending before being approved or rejected.</w:t>
      </w:r>
    </w:p>
    <w:p w14:paraId="3222B11D" w14:textId="77777777" w:rsidR="008A1210" w:rsidRPr="008A1210" w:rsidRDefault="008A1210" w:rsidP="008A1210">
      <w:pPr>
        <w:pBdr>
          <w:top w:val="nil"/>
          <w:left w:val="nil"/>
          <w:bottom w:val="nil"/>
          <w:right w:val="nil"/>
          <w:between w:val="nil"/>
        </w:pBdr>
        <w:spacing w:after="0"/>
        <w:ind w:left="0" w:firstLine="0"/>
        <w:jc w:val="both"/>
        <w:rPr>
          <w:color w:val="000000"/>
          <w:sz w:val="24"/>
          <w:szCs w:val="24"/>
        </w:rPr>
      </w:pPr>
    </w:p>
    <w:p w14:paraId="6301DF33" w14:textId="77777777" w:rsidR="008A1210" w:rsidRPr="003F58EE" w:rsidRDefault="008A1210" w:rsidP="00FF05D4">
      <w:pPr>
        <w:ind w:left="0" w:firstLine="0"/>
        <w:jc w:val="both"/>
        <w:rPr>
          <w:rFonts w:ascii="Calibri Light" w:eastAsia="Times New Roman" w:hAnsi="Calibri Light" w:cs="Calibri Light"/>
          <w:sz w:val="24"/>
          <w:szCs w:val="24"/>
        </w:rPr>
      </w:pPr>
    </w:p>
    <w:p w14:paraId="7EBB3792" w14:textId="77777777" w:rsidR="00B34815" w:rsidRPr="00F32D0E" w:rsidRDefault="007213CB">
      <w:pPr>
        <w:pStyle w:val="Heading1"/>
        <w:keepNext/>
        <w:numPr>
          <w:ilvl w:val="0"/>
          <w:numId w:val="4"/>
        </w:numPr>
        <w:spacing w:before="240"/>
        <w:ind w:left="1" w:hanging="3"/>
        <w:jc w:val="both"/>
        <w:rPr>
          <w:rFonts w:asciiTheme="majorHAnsi" w:hAnsiTheme="majorHAnsi" w:cstheme="majorHAnsi"/>
        </w:rPr>
      </w:pPr>
      <w:r w:rsidRPr="00F32D0E">
        <w:rPr>
          <w:rFonts w:asciiTheme="majorHAnsi" w:hAnsiTheme="majorHAnsi" w:cstheme="majorHAnsi"/>
        </w:rPr>
        <w:lastRenderedPageBreak/>
        <w:t xml:space="preserve">GSA Reporting Requirements under Executive Order 13821 </w:t>
      </w:r>
    </w:p>
    <w:p w14:paraId="6F4FD977" w14:textId="77777777" w:rsidR="00B34815" w:rsidRPr="003F58EE" w:rsidRDefault="007213CB">
      <w:pPr>
        <w:ind w:left="0" w:hanging="2"/>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Subsections 2(d) and (e) of E.O. 13821 require the following: </w:t>
      </w:r>
    </w:p>
    <w:p w14:paraId="6556AD21" w14:textId="514F808C" w:rsidR="00B34815" w:rsidRPr="003F58EE" w:rsidRDefault="007213CB">
      <w:pPr>
        <w:numPr>
          <w:ilvl w:val="0"/>
          <w:numId w:val="1"/>
        </w:numPr>
        <w:pBdr>
          <w:top w:val="nil"/>
          <w:left w:val="nil"/>
          <w:bottom w:val="nil"/>
          <w:right w:val="nil"/>
          <w:between w:val="nil"/>
        </w:pBdr>
        <w:spacing w:after="0"/>
        <w:ind w:left="0" w:firstLine="360"/>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 xml:space="preserve">Within 180 days of the date of the order, and on a quarterly basis thereafter, all Federal property managing agencies must report to GSA regarding their required use of the Common Form Application, the number of Common Form Applications received, the </w:t>
      </w:r>
      <w:r w:rsidRPr="003F58EE">
        <w:rPr>
          <w:rFonts w:ascii="Calibri Light" w:eastAsia="Times New Roman" w:hAnsi="Calibri Light" w:cs="Calibri Light"/>
          <w:sz w:val="24"/>
          <w:szCs w:val="24"/>
        </w:rPr>
        <w:t>number and percentage</w:t>
      </w:r>
      <w:r w:rsidRPr="003F58EE">
        <w:rPr>
          <w:rFonts w:ascii="Calibri Light" w:eastAsia="Times New Roman" w:hAnsi="Calibri Light" w:cs="Calibri Light"/>
          <w:color w:val="000000"/>
          <w:sz w:val="24"/>
          <w:szCs w:val="24"/>
        </w:rPr>
        <w:t xml:space="preserve"> approved, the </w:t>
      </w:r>
      <w:r w:rsidRPr="003F58EE">
        <w:rPr>
          <w:rFonts w:ascii="Calibri Light" w:eastAsia="Times New Roman" w:hAnsi="Calibri Light" w:cs="Calibri Light"/>
          <w:sz w:val="24"/>
          <w:szCs w:val="24"/>
        </w:rPr>
        <w:t>number and percentage</w:t>
      </w:r>
      <w:r w:rsidRPr="003F58EE">
        <w:rPr>
          <w:rFonts w:ascii="Calibri Light" w:eastAsia="Times New Roman" w:hAnsi="Calibri Light" w:cs="Calibri Light"/>
          <w:color w:val="000000"/>
          <w:sz w:val="24"/>
          <w:szCs w:val="24"/>
        </w:rPr>
        <w:t xml:space="preserve"> rejected, the basis for any rejection, and the number of working days each application was pending before being approved or rejected. </w:t>
      </w:r>
      <w:r w:rsidR="001C177E">
        <w:rPr>
          <w:rFonts w:ascii="Calibri Light" w:eastAsia="Times New Roman" w:hAnsi="Calibri Light" w:cs="Calibri Light"/>
          <w:color w:val="000000"/>
          <w:sz w:val="24"/>
          <w:szCs w:val="24"/>
        </w:rPr>
        <w:t xml:space="preserve"> </w:t>
      </w:r>
      <w:r w:rsidRPr="003F58EE">
        <w:rPr>
          <w:rFonts w:ascii="Calibri Light" w:eastAsia="Times New Roman" w:hAnsi="Calibri Light" w:cs="Calibri Light"/>
          <w:color w:val="000000"/>
          <w:sz w:val="24"/>
          <w:szCs w:val="24"/>
        </w:rPr>
        <w:t>Each report must include the number of applications received, approved, and rejected within the preceding quarter; and</w:t>
      </w:r>
    </w:p>
    <w:p w14:paraId="493CB16A" w14:textId="77777777" w:rsidR="00B34815" w:rsidRPr="003F58EE" w:rsidRDefault="00B34815">
      <w:pPr>
        <w:pBdr>
          <w:top w:val="nil"/>
          <w:left w:val="nil"/>
          <w:bottom w:val="nil"/>
          <w:right w:val="nil"/>
          <w:between w:val="nil"/>
        </w:pBdr>
        <w:spacing w:after="0"/>
        <w:ind w:left="360" w:firstLine="0"/>
        <w:jc w:val="both"/>
        <w:rPr>
          <w:rFonts w:ascii="Calibri Light" w:eastAsia="Times New Roman" w:hAnsi="Calibri Light" w:cs="Calibri Light"/>
          <w:color w:val="000000"/>
          <w:sz w:val="24"/>
          <w:szCs w:val="24"/>
        </w:rPr>
      </w:pPr>
    </w:p>
    <w:p w14:paraId="386F14F6" w14:textId="77777777" w:rsidR="00B34815" w:rsidRPr="003F58EE" w:rsidRDefault="007213CB">
      <w:pPr>
        <w:numPr>
          <w:ilvl w:val="0"/>
          <w:numId w:val="1"/>
        </w:numPr>
        <w:pBdr>
          <w:top w:val="nil"/>
          <w:left w:val="nil"/>
          <w:bottom w:val="nil"/>
          <w:right w:val="nil"/>
          <w:between w:val="nil"/>
        </w:pBdr>
        <w:spacing w:after="0"/>
        <w:ind w:left="0" w:firstLine="360"/>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Ninety days after the date of the order, and on a quarterly basis thereafter, GSA must prepare and provide to the Director of OMB an aggregated summary report detailing results from the reports submitted under subsection 2(d</w:t>
      </w:r>
      <w:r w:rsidRPr="003F58EE">
        <w:rPr>
          <w:rFonts w:ascii="Calibri Light" w:eastAsia="Times New Roman" w:hAnsi="Calibri Light" w:cs="Calibri Light"/>
          <w:sz w:val="24"/>
          <w:szCs w:val="24"/>
        </w:rPr>
        <w:t>).</w:t>
      </w:r>
    </w:p>
    <w:p w14:paraId="1883F8F6" w14:textId="77777777" w:rsidR="00B34815" w:rsidRPr="003F58EE" w:rsidRDefault="00B34815">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p>
    <w:p w14:paraId="19F2B5CF" w14:textId="7A9CCD30"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sz w:val="24"/>
          <w:szCs w:val="24"/>
        </w:rPr>
      </w:pPr>
      <w:bookmarkStart w:id="3" w:name="_3znysh7" w:colFirst="0" w:colLast="0"/>
      <w:bookmarkEnd w:id="3"/>
      <w:r w:rsidRPr="003F58EE">
        <w:rPr>
          <w:rFonts w:ascii="Calibri Light" w:eastAsia="Times New Roman" w:hAnsi="Calibri Light" w:cs="Calibri Light"/>
          <w:sz w:val="24"/>
          <w:szCs w:val="24"/>
        </w:rPr>
        <w:t xml:space="preserve">Pursuant to subsection 2(e) of the order, this report summarizes the results of the data submitted to GSA by the Federal property managing agencies under subsection </w:t>
      </w:r>
      <w:r w:rsidR="00F32D0E" w:rsidRPr="003F58EE">
        <w:rPr>
          <w:rFonts w:ascii="Calibri Light" w:eastAsia="Times New Roman" w:hAnsi="Calibri Light" w:cs="Calibri Light"/>
          <w:sz w:val="24"/>
          <w:szCs w:val="24"/>
        </w:rPr>
        <w:t>2(d) and</w:t>
      </w:r>
      <w:r w:rsidRPr="003F58EE">
        <w:rPr>
          <w:rFonts w:ascii="Calibri Light" w:eastAsia="Times New Roman" w:hAnsi="Calibri Light" w:cs="Calibri Light"/>
          <w:sz w:val="24"/>
          <w:szCs w:val="24"/>
        </w:rPr>
        <w:t xml:space="preserve"> includes an aggregated summary of the number of Common Form Applications received, the number and percentage approved, the number and percentage rejected, the basis for any rejection, and the number of working days each application was pending before being approved or rejected. </w:t>
      </w:r>
    </w:p>
    <w:p w14:paraId="0F3581C5" w14:textId="50F755EF"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sz w:val="24"/>
          <w:szCs w:val="24"/>
        </w:rPr>
        <w:t xml:space="preserve"> </w:t>
      </w:r>
    </w:p>
    <w:p w14:paraId="12C0258E" w14:textId="3C592D57" w:rsidR="00B34815" w:rsidRDefault="007213CB">
      <w:pPr>
        <w:ind w:left="0" w:hanging="2"/>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In collecting and summarizing the Common Form Application data, GSA counted agency use of either the Common Form Application or the SF-299, “Application for Transportation and Utilities Systems and Facilities on Federal Lands.”  The SF-299 is required for use by all agencies for easements and rights-of-way; however, in conversations with other land management agencies, GSA discovered that many agencies were also using the SF-299 as their application for antenna installations.  GSA discussed this point with the Executive Office of the President at a meeting in January 2018, where it was agreed that the SF-299, rather than the Common Form Application, should be revised </w:t>
      </w:r>
      <w:r w:rsidRPr="003F58EE">
        <w:rPr>
          <w:rFonts w:ascii="Calibri Light" w:eastAsia="Times New Roman" w:hAnsi="Calibri Light" w:cs="Calibri Light"/>
          <w:color w:val="222222"/>
          <w:sz w:val="24"/>
          <w:szCs w:val="24"/>
          <w:highlight w:val="white"/>
        </w:rPr>
        <w:t xml:space="preserve">to better meet both agency and industry needs </w:t>
      </w:r>
      <w:r w:rsidR="009A1772" w:rsidRPr="003F58EE">
        <w:rPr>
          <w:rFonts w:ascii="Calibri Light" w:eastAsia="Times New Roman" w:hAnsi="Calibri Light" w:cs="Calibri Light"/>
          <w:color w:val="222222"/>
          <w:sz w:val="24"/>
          <w:szCs w:val="24"/>
          <w:highlight w:val="white"/>
        </w:rPr>
        <w:t>regarding</w:t>
      </w:r>
      <w:r w:rsidRPr="003F58EE">
        <w:rPr>
          <w:rFonts w:ascii="Calibri Light" w:eastAsia="Times New Roman" w:hAnsi="Calibri Light" w:cs="Calibri Light"/>
          <w:color w:val="222222"/>
          <w:sz w:val="24"/>
          <w:szCs w:val="24"/>
          <w:highlight w:val="white"/>
        </w:rPr>
        <w:t xml:space="preserve"> the common form antenna installation application</w:t>
      </w:r>
      <w:r w:rsidRPr="003F58EE">
        <w:rPr>
          <w:rFonts w:ascii="Calibri Light" w:eastAsia="Tahoma" w:hAnsi="Calibri Light" w:cs="Calibri Light"/>
          <w:color w:val="222222"/>
          <w:highlight w:val="white"/>
        </w:rPr>
        <w:t>.</w:t>
      </w:r>
      <w:r w:rsidRPr="003F58EE">
        <w:rPr>
          <w:rFonts w:ascii="Calibri Light" w:eastAsia="Times New Roman" w:hAnsi="Calibri Light" w:cs="Calibri Light"/>
          <w:sz w:val="24"/>
          <w:szCs w:val="24"/>
        </w:rPr>
        <w:t xml:space="preserve">  OMB approved the revised SF-299 on February 14, 2020.  As a result, the SF-299, as revised, is now the exclusive form used by non-</w:t>
      </w:r>
      <w:r w:rsidR="00F3112C">
        <w:rPr>
          <w:rFonts w:ascii="Calibri Light" w:eastAsia="Times New Roman" w:hAnsi="Calibri Light" w:cs="Calibri Light"/>
          <w:sz w:val="24"/>
          <w:szCs w:val="24"/>
        </w:rPr>
        <w:t>F</w:t>
      </w:r>
      <w:r w:rsidRPr="003F58EE">
        <w:rPr>
          <w:rFonts w:ascii="Calibri Light" w:eastAsia="Times New Roman" w:hAnsi="Calibri Light" w:cs="Calibri Light"/>
          <w:sz w:val="24"/>
          <w:szCs w:val="24"/>
        </w:rPr>
        <w:t xml:space="preserve">ederal entities to request approval to install telecommunications equipment on </w:t>
      </w:r>
      <w:r w:rsidR="00F3112C">
        <w:rPr>
          <w:rFonts w:ascii="Calibri Light" w:eastAsia="Times New Roman" w:hAnsi="Calibri Light" w:cs="Calibri Light"/>
          <w:sz w:val="24"/>
          <w:szCs w:val="24"/>
        </w:rPr>
        <w:t>F</w:t>
      </w:r>
      <w:r w:rsidRPr="003F58EE">
        <w:rPr>
          <w:rFonts w:ascii="Calibri Light" w:eastAsia="Times New Roman" w:hAnsi="Calibri Light" w:cs="Calibri Light"/>
          <w:sz w:val="24"/>
          <w:szCs w:val="24"/>
        </w:rPr>
        <w:t xml:space="preserve">ederal assets and lands.  Accordingly, for this report, GSA collected information from the Federal property managing agencies on the use of the SF-299, as revised.    </w:t>
      </w:r>
    </w:p>
    <w:p w14:paraId="350D9837" w14:textId="12B6E922" w:rsidR="001603EB" w:rsidRDefault="001603EB">
      <w:pPr>
        <w:ind w:left="0" w:hanging="2"/>
        <w:jc w:val="both"/>
        <w:rPr>
          <w:rFonts w:ascii="Calibri Light" w:eastAsia="Times New Roman" w:hAnsi="Calibri Light" w:cs="Calibri Light"/>
          <w:sz w:val="24"/>
          <w:szCs w:val="24"/>
        </w:rPr>
      </w:pPr>
    </w:p>
    <w:p w14:paraId="0E1A8570" w14:textId="77777777" w:rsidR="00310BF2" w:rsidRPr="003F58EE" w:rsidRDefault="00310BF2">
      <w:pPr>
        <w:ind w:left="0" w:hanging="2"/>
        <w:jc w:val="both"/>
        <w:rPr>
          <w:rFonts w:ascii="Calibri Light" w:eastAsia="Times New Roman" w:hAnsi="Calibri Light" w:cs="Calibri Light"/>
          <w:sz w:val="24"/>
          <w:szCs w:val="24"/>
        </w:rPr>
      </w:pPr>
    </w:p>
    <w:p w14:paraId="706D7AE5" w14:textId="77777777" w:rsidR="00B34815" w:rsidRPr="00F32D0E" w:rsidRDefault="007213CB">
      <w:pPr>
        <w:pStyle w:val="Heading1"/>
        <w:keepNext/>
        <w:numPr>
          <w:ilvl w:val="0"/>
          <w:numId w:val="4"/>
        </w:numPr>
        <w:ind w:left="1" w:hanging="3"/>
        <w:jc w:val="both"/>
        <w:rPr>
          <w:rFonts w:asciiTheme="majorHAnsi" w:hAnsiTheme="majorHAnsi" w:cstheme="majorHAnsi"/>
        </w:rPr>
      </w:pPr>
      <w:r w:rsidRPr="00F32D0E">
        <w:rPr>
          <w:rFonts w:asciiTheme="majorHAnsi" w:hAnsiTheme="majorHAnsi" w:cstheme="majorHAnsi"/>
        </w:rPr>
        <w:lastRenderedPageBreak/>
        <w:t xml:space="preserve">Data Collection and Reporting Results </w:t>
      </w:r>
    </w:p>
    <w:p w14:paraId="331099E1" w14:textId="5DDD8FA2" w:rsidR="00B34815" w:rsidRPr="003F58EE" w:rsidRDefault="007213CB">
      <w:pPr>
        <w:ind w:left="0" w:hanging="2"/>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To facilitate and streamline the collection of the information required under subsection 2(d) of E.O. 13821, GSA created and distributed a survey, in </w:t>
      </w:r>
      <w:r w:rsidR="002B2524">
        <w:rPr>
          <w:rFonts w:ascii="Calibri Light" w:eastAsia="Times New Roman" w:hAnsi="Calibri Light" w:cs="Calibri Light"/>
          <w:sz w:val="24"/>
          <w:szCs w:val="24"/>
        </w:rPr>
        <w:t>January</w:t>
      </w:r>
      <w:r w:rsidRPr="003F58EE">
        <w:rPr>
          <w:rFonts w:ascii="Calibri Light" w:eastAsia="Times New Roman" w:hAnsi="Calibri Light" w:cs="Calibri Light"/>
          <w:sz w:val="24"/>
          <w:szCs w:val="24"/>
        </w:rPr>
        <w:t xml:space="preserve"> 202</w:t>
      </w:r>
      <w:r w:rsidR="002B2524">
        <w:rPr>
          <w:rFonts w:ascii="Calibri Light" w:eastAsia="Times New Roman" w:hAnsi="Calibri Light" w:cs="Calibri Light"/>
          <w:sz w:val="24"/>
          <w:szCs w:val="24"/>
        </w:rPr>
        <w:t>3</w:t>
      </w:r>
      <w:r w:rsidRPr="003F58EE">
        <w:rPr>
          <w:rFonts w:ascii="Calibri Light" w:eastAsia="Times New Roman" w:hAnsi="Calibri Light" w:cs="Calibri Light"/>
          <w:sz w:val="24"/>
          <w:szCs w:val="24"/>
        </w:rPr>
        <w:t xml:space="preserve">, to 41 Federal property managing agencies and bureaus. </w:t>
      </w:r>
      <w:r w:rsidR="001C177E">
        <w:rPr>
          <w:rFonts w:ascii="Calibri Light" w:eastAsia="Times New Roman" w:hAnsi="Calibri Light" w:cs="Calibri Light"/>
          <w:sz w:val="24"/>
          <w:szCs w:val="24"/>
        </w:rPr>
        <w:t xml:space="preserve"> </w:t>
      </w:r>
      <w:r w:rsidRPr="003F58EE">
        <w:rPr>
          <w:rFonts w:ascii="Calibri Light" w:eastAsia="Times New Roman" w:hAnsi="Calibri Light" w:cs="Calibri Light"/>
          <w:sz w:val="24"/>
          <w:szCs w:val="24"/>
        </w:rPr>
        <w:t>Appendix A lists the survey questions</w:t>
      </w:r>
      <w:r w:rsidR="0006301B" w:rsidRPr="003F58EE">
        <w:rPr>
          <w:rFonts w:ascii="Calibri Light" w:eastAsia="Times New Roman" w:hAnsi="Calibri Light" w:cs="Calibri Light"/>
          <w:sz w:val="24"/>
          <w:szCs w:val="24"/>
        </w:rPr>
        <w:t>;</w:t>
      </w:r>
      <w:r w:rsidRPr="003F58EE">
        <w:rPr>
          <w:rFonts w:ascii="Calibri Light" w:eastAsia="Times New Roman" w:hAnsi="Calibri Light" w:cs="Calibri Light"/>
          <w:sz w:val="24"/>
          <w:szCs w:val="24"/>
        </w:rPr>
        <w:t xml:space="preserve"> Appendix B lists all the Federal property managing agencies and bureaus that GSA </w:t>
      </w:r>
      <w:r w:rsidR="000C2BB4" w:rsidRPr="003F58EE">
        <w:rPr>
          <w:rFonts w:ascii="Calibri Light" w:eastAsia="Times New Roman" w:hAnsi="Calibri Light" w:cs="Calibri Light"/>
          <w:sz w:val="24"/>
          <w:szCs w:val="24"/>
        </w:rPr>
        <w:t>surveyed,</w:t>
      </w:r>
      <w:r w:rsidRPr="003F58EE">
        <w:rPr>
          <w:rFonts w:ascii="Calibri Light" w:eastAsia="Times New Roman" w:hAnsi="Calibri Light" w:cs="Calibri Light"/>
          <w:sz w:val="24"/>
          <w:szCs w:val="24"/>
        </w:rPr>
        <w:t xml:space="preserve"> and which agencies responded to the survey</w:t>
      </w:r>
      <w:r w:rsidR="0006301B" w:rsidRPr="003F58EE">
        <w:rPr>
          <w:rFonts w:ascii="Calibri Light" w:eastAsia="Times New Roman" w:hAnsi="Calibri Light" w:cs="Calibri Light"/>
          <w:sz w:val="24"/>
          <w:szCs w:val="24"/>
        </w:rPr>
        <w:t>;</w:t>
      </w:r>
      <w:r w:rsidRPr="003F58EE">
        <w:rPr>
          <w:rFonts w:ascii="Calibri Light" w:eastAsia="Times New Roman" w:hAnsi="Calibri Light" w:cs="Calibri Light"/>
          <w:sz w:val="24"/>
          <w:szCs w:val="24"/>
        </w:rPr>
        <w:t xml:space="preserve"> and, for those agencies that responded to the survey, Appendix C identifies those agencies that processed applications for permits during the reporting period.  </w:t>
      </w:r>
    </w:p>
    <w:p w14:paraId="1EEC1BCA" w14:textId="3EFFA4EA" w:rsidR="00B34815" w:rsidRPr="003F58EE" w:rsidRDefault="00511A56">
      <w:pPr>
        <w:ind w:left="0" w:hanging="2"/>
        <w:jc w:val="both"/>
        <w:rPr>
          <w:rFonts w:ascii="Calibri Light" w:hAnsi="Calibri Light" w:cs="Calibri Light"/>
        </w:rPr>
      </w:pPr>
      <w:r w:rsidRPr="003F58EE">
        <w:rPr>
          <w:rFonts w:ascii="Calibri Light" w:eastAsia="Times New Roman" w:hAnsi="Calibri Light" w:cs="Calibri Light"/>
          <w:sz w:val="24"/>
          <w:szCs w:val="24"/>
        </w:rPr>
        <w:t>In accordance with EO 13821 and</w:t>
      </w:r>
      <w:r w:rsidR="001C177E">
        <w:rPr>
          <w:rFonts w:ascii="Calibri Light" w:eastAsia="Times New Roman" w:hAnsi="Calibri Light" w:cs="Calibri Light"/>
          <w:sz w:val="24"/>
          <w:szCs w:val="24"/>
        </w:rPr>
        <w:t xml:space="preserve"> in</w:t>
      </w:r>
      <w:r w:rsidRPr="003F58EE">
        <w:rPr>
          <w:rFonts w:ascii="Calibri Light" w:eastAsia="Times New Roman" w:hAnsi="Calibri Light" w:cs="Calibri Light"/>
          <w:sz w:val="24"/>
          <w:szCs w:val="24"/>
        </w:rPr>
        <w:t xml:space="preserve"> </w:t>
      </w:r>
      <w:r w:rsidR="002C5734" w:rsidRPr="003F58EE">
        <w:rPr>
          <w:rFonts w:ascii="Calibri Light" w:eastAsia="Times New Roman" w:hAnsi="Calibri Light" w:cs="Calibri Light"/>
          <w:sz w:val="24"/>
          <w:szCs w:val="24"/>
        </w:rPr>
        <w:t>collaboration</w:t>
      </w:r>
      <w:r w:rsidR="001C177E">
        <w:rPr>
          <w:rFonts w:ascii="Calibri Light" w:eastAsia="Times New Roman" w:hAnsi="Calibri Light" w:cs="Calibri Light"/>
          <w:sz w:val="24"/>
          <w:szCs w:val="24"/>
        </w:rPr>
        <w:t xml:space="preserve"> with</w:t>
      </w:r>
      <w:r w:rsidR="00065959" w:rsidRPr="003F58EE">
        <w:rPr>
          <w:rFonts w:ascii="Calibri Light" w:eastAsia="Times New Roman" w:hAnsi="Calibri Light" w:cs="Calibri Light"/>
          <w:sz w:val="24"/>
          <w:szCs w:val="24"/>
        </w:rPr>
        <w:t xml:space="preserve"> the Streamlining Federal</w:t>
      </w:r>
      <w:r w:rsidR="00481AB5" w:rsidRPr="003F58EE">
        <w:rPr>
          <w:rFonts w:ascii="Calibri Light" w:eastAsia="Times New Roman" w:hAnsi="Calibri Light" w:cs="Calibri Light"/>
          <w:sz w:val="24"/>
          <w:szCs w:val="24"/>
        </w:rPr>
        <w:t xml:space="preserve"> Permitting Work Stream (SFP</w:t>
      </w:r>
      <w:r w:rsidR="00FE5E66" w:rsidRPr="003F58EE">
        <w:rPr>
          <w:rFonts w:ascii="Calibri Light" w:eastAsia="Times New Roman" w:hAnsi="Calibri Light" w:cs="Calibri Light"/>
          <w:sz w:val="24"/>
          <w:szCs w:val="24"/>
        </w:rPr>
        <w:t>)</w:t>
      </w:r>
      <w:r w:rsidR="00FE5E66">
        <w:rPr>
          <w:rFonts w:ascii="Calibri Light" w:eastAsia="Times New Roman" w:hAnsi="Calibri Light" w:cs="Calibri Light"/>
          <w:sz w:val="24"/>
          <w:szCs w:val="24"/>
        </w:rPr>
        <w:t>,</w:t>
      </w:r>
      <w:r w:rsidR="00FE5E66" w:rsidRPr="003F58EE">
        <w:rPr>
          <w:rFonts w:ascii="Calibri Light" w:eastAsia="Times New Roman" w:hAnsi="Calibri Light" w:cs="Calibri Light"/>
          <w:sz w:val="24"/>
          <w:szCs w:val="24"/>
        </w:rPr>
        <w:t xml:space="preserve"> GSA</w:t>
      </w:r>
      <w:r w:rsidR="00481AB5" w:rsidRPr="003F58EE">
        <w:rPr>
          <w:rFonts w:ascii="Calibri Light" w:eastAsia="Times New Roman" w:hAnsi="Calibri Light" w:cs="Calibri Light"/>
          <w:sz w:val="24"/>
          <w:szCs w:val="24"/>
        </w:rPr>
        <w:t xml:space="preserve"> staff</w:t>
      </w:r>
      <w:r w:rsidR="001603EB">
        <w:rPr>
          <w:rFonts w:ascii="Calibri Light" w:eastAsia="Times New Roman" w:hAnsi="Calibri Light" w:cs="Calibri Light"/>
          <w:sz w:val="24"/>
          <w:szCs w:val="24"/>
        </w:rPr>
        <w:t xml:space="preserve"> created the following definitions to classify more comprehensively the various stages of the permit application process</w:t>
      </w:r>
      <w:r w:rsidR="00B6615F">
        <w:rPr>
          <w:rFonts w:ascii="Calibri Light" w:eastAsia="Times New Roman" w:hAnsi="Calibri Light" w:cs="Calibri Light"/>
          <w:sz w:val="24"/>
          <w:szCs w:val="24"/>
        </w:rPr>
        <w:t>:</w:t>
      </w:r>
    </w:p>
    <w:p w14:paraId="62F2E00F" w14:textId="77777777" w:rsidR="00B34815" w:rsidRPr="00F32D0E" w:rsidRDefault="007213CB">
      <w:pPr>
        <w:numPr>
          <w:ilvl w:val="1"/>
          <w:numId w:val="5"/>
        </w:numPr>
        <w:pBdr>
          <w:top w:val="nil"/>
          <w:left w:val="nil"/>
          <w:bottom w:val="nil"/>
          <w:right w:val="nil"/>
          <w:between w:val="nil"/>
        </w:pBdr>
        <w:spacing w:after="0"/>
        <w:jc w:val="both"/>
        <w:rPr>
          <w:rFonts w:asciiTheme="majorHAnsi" w:eastAsia="Times New Roman" w:hAnsiTheme="majorHAnsi" w:cstheme="majorHAnsi"/>
          <w:color w:val="000000"/>
          <w:sz w:val="24"/>
          <w:szCs w:val="24"/>
        </w:rPr>
      </w:pPr>
      <w:r w:rsidRPr="00F32D0E">
        <w:rPr>
          <w:rFonts w:asciiTheme="majorHAnsi" w:eastAsia="Times New Roman" w:hAnsiTheme="majorHAnsi" w:cstheme="majorHAnsi"/>
          <w:b/>
          <w:color w:val="000000"/>
          <w:sz w:val="24"/>
          <w:szCs w:val="24"/>
        </w:rPr>
        <w:t xml:space="preserve">Application Received Date </w:t>
      </w:r>
      <w:r w:rsidRPr="00F32D0E">
        <w:rPr>
          <w:rFonts w:asciiTheme="majorHAnsi" w:eastAsia="Times New Roman" w:hAnsiTheme="majorHAnsi" w:cstheme="majorHAnsi"/>
          <w:color w:val="000000"/>
          <w:sz w:val="24"/>
          <w:szCs w:val="24"/>
        </w:rPr>
        <w:t xml:space="preserve">– </w:t>
      </w:r>
      <w:r w:rsidRPr="003F58EE">
        <w:rPr>
          <w:rFonts w:ascii="Calibri Light" w:eastAsia="Times New Roman" w:hAnsi="Calibri Light" w:cs="Calibri Light"/>
          <w:color w:val="000000"/>
          <w:sz w:val="24"/>
          <w:szCs w:val="24"/>
        </w:rPr>
        <w:t>The date on which an agency receives a complete (duly filed) application, including any attachments</w:t>
      </w:r>
      <w:r w:rsidRPr="00F32D0E">
        <w:rPr>
          <w:rFonts w:asciiTheme="majorHAnsi" w:eastAsia="Times New Roman" w:hAnsiTheme="majorHAnsi" w:cstheme="majorHAnsi"/>
          <w:color w:val="000000"/>
          <w:sz w:val="24"/>
          <w:szCs w:val="24"/>
        </w:rPr>
        <w:t>.</w:t>
      </w:r>
    </w:p>
    <w:p w14:paraId="1A8A8AD3" w14:textId="77777777" w:rsidR="00B34815" w:rsidRPr="00F32D0E" w:rsidRDefault="00B34815">
      <w:pPr>
        <w:pBdr>
          <w:top w:val="nil"/>
          <w:left w:val="nil"/>
          <w:bottom w:val="nil"/>
          <w:right w:val="nil"/>
          <w:between w:val="nil"/>
        </w:pBdr>
        <w:spacing w:after="0"/>
        <w:ind w:left="1440" w:firstLine="0"/>
        <w:jc w:val="both"/>
        <w:rPr>
          <w:rFonts w:asciiTheme="majorHAnsi" w:eastAsia="Times New Roman" w:hAnsiTheme="majorHAnsi" w:cstheme="majorHAnsi"/>
          <w:color w:val="000000"/>
          <w:sz w:val="24"/>
          <w:szCs w:val="24"/>
        </w:rPr>
      </w:pPr>
    </w:p>
    <w:p w14:paraId="4FFC7F4B" w14:textId="7236A41B" w:rsidR="00B34815" w:rsidRPr="00F32D0E" w:rsidRDefault="007213CB">
      <w:pPr>
        <w:numPr>
          <w:ilvl w:val="1"/>
          <w:numId w:val="5"/>
        </w:numPr>
        <w:pBdr>
          <w:top w:val="nil"/>
          <w:left w:val="nil"/>
          <w:bottom w:val="nil"/>
          <w:right w:val="nil"/>
          <w:between w:val="nil"/>
        </w:pBdr>
        <w:spacing w:after="0"/>
        <w:jc w:val="both"/>
        <w:rPr>
          <w:rFonts w:asciiTheme="majorHAnsi" w:eastAsia="Times New Roman" w:hAnsiTheme="majorHAnsi" w:cstheme="majorHAnsi"/>
          <w:color w:val="000000"/>
          <w:sz w:val="24"/>
          <w:szCs w:val="24"/>
        </w:rPr>
      </w:pPr>
      <w:r w:rsidRPr="00F32D0E">
        <w:rPr>
          <w:rFonts w:asciiTheme="majorHAnsi" w:eastAsia="Times New Roman" w:hAnsiTheme="majorHAnsi" w:cstheme="majorHAnsi"/>
          <w:b/>
          <w:color w:val="000000"/>
          <w:sz w:val="24"/>
          <w:szCs w:val="24"/>
        </w:rPr>
        <w:t xml:space="preserve">Date Approved </w:t>
      </w:r>
      <w:r w:rsidRPr="00F32D0E">
        <w:rPr>
          <w:rFonts w:asciiTheme="majorHAnsi" w:eastAsia="Times New Roman" w:hAnsiTheme="majorHAnsi" w:cstheme="majorHAnsi"/>
          <w:color w:val="000000"/>
          <w:sz w:val="24"/>
          <w:szCs w:val="24"/>
        </w:rPr>
        <w:t xml:space="preserve">– </w:t>
      </w:r>
      <w:r w:rsidRPr="003F58EE">
        <w:rPr>
          <w:rFonts w:ascii="Calibri Light" w:eastAsia="Times New Roman" w:hAnsi="Calibri Light" w:cs="Calibri Light"/>
          <w:color w:val="000000"/>
          <w:sz w:val="24"/>
          <w:szCs w:val="24"/>
        </w:rPr>
        <w:t>The date on which the authorizing agency complete</w:t>
      </w:r>
      <w:r w:rsidR="00FE5E66">
        <w:rPr>
          <w:rFonts w:ascii="Calibri Light" w:eastAsia="Times New Roman" w:hAnsi="Calibri Light" w:cs="Calibri Light"/>
          <w:color w:val="000000"/>
          <w:sz w:val="24"/>
          <w:szCs w:val="24"/>
        </w:rPr>
        <w:t>s</w:t>
      </w:r>
      <w:r w:rsidRPr="003F58EE">
        <w:rPr>
          <w:rFonts w:ascii="Calibri Light" w:eastAsia="Times New Roman" w:hAnsi="Calibri Light" w:cs="Calibri Light"/>
          <w:color w:val="000000"/>
          <w:sz w:val="24"/>
          <w:szCs w:val="24"/>
        </w:rPr>
        <w:t xml:space="preserve"> </w:t>
      </w:r>
      <w:r w:rsidRPr="003F58EE">
        <w:rPr>
          <w:rFonts w:ascii="Calibri Light" w:eastAsia="Times New Roman" w:hAnsi="Calibri Light" w:cs="Calibri Light"/>
          <w:sz w:val="24"/>
          <w:szCs w:val="24"/>
        </w:rPr>
        <w:t>its</w:t>
      </w:r>
      <w:r w:rsidRPr="003F58EE">
        <w:rPr>
          <w:rFonts w:ascii="Calibri Light" w:eastAsia="Times New Roman" w:hAnsi="Calibri Light" w:cs="Calibri Light"/>
          <w:color w:val="000000"/>
          <w:sz w:val="24"/>
          <w:szCs w:val="24"/>
        </w:rPr>
        <w:t xml:space="preserve"> review of a duly filed application and transmits the authorization to the applicant, otherwise known as the date the autho</w:t>
      </w:r>
      <w:r w:rsidRPr="003F58EE">
        <w:rPr>
          <w:rFonts w:ascii="Calibri Light" w:eastAsia="Times New Roman" w:hAnsi="Calibri Light" w:cs="Calibri Light"/>
          <w:sz w:val="24"/>
          <w:szCs w:val="24"/>
        </w:rPr>
        <w:t>rization</w:t>
      </w:r>
      <w:r w:rsidRPr="003F58EE">
        <w:rPr>
          <w:rFonts w:ascii="Calibri Light" w:eastAsia="Times New Roman" w:hAnsi="Calibri Light" w:cs="Calibri Light"/>
          <w:color w:val="000000"/>
          <w:sz w:val="24"/>
          <w:szCs w:val="24"/>
        </w:rPr>
        <w:t xml:space="preserve"> was offered to an applicant.  For purposes of the</w:t>
      </w:r>
      <w:r w:rsidRPr="003F58EE">
        <w:rPr>
          <w:rFonts w:ascii="Calibri Light" w:eastAsia="Times New Roman" w:hAnsi="Calibri Light" w:cs="Calibri Light"/>
          <w:sz w:val="24"/>
          <w:szCs w:val="24"/>
        </w:rPr>
        <w:t xml:space="preserve"> survey, an authorization means a permit, lease, grant, or some other contractual agreement.</w:t>
      </w:r>
      <w:r w:rsidRPr="00F32D0E">
        <w:rPr>
          <w:rFonts w:asciiTheme="majorHAnsi" w:eastAsia="Times New Roman" w:hAnsiTheme="majorHAnsi" w:cstheme="majorHAnsi"/>
          <w:color w:val="000000"/>
          <w:sz w:val="24"/>
          <w:szCs w:val="24"/>
        </w:rPr>
        <w:t xml:space="preserve">  </w:t>
      </w:r>
    </w:p>
    <w:p w14:paraId="24AC3464" w14:textId="77777777" w:rsidR="00B34815" w:rsidRPr="00F32D0E" w:rsidRDefault="00B34815">
      <w:pPr>
        <w:pBdr>
          <w:top w:val="nil"/>
          <w:left w:val="nil"/>
          <w:bottom w:val="nil"/>
          <w:right w:val="nil"/>
          <w:between w:val="nil"/>
        </w:pBdr>
        <w:spacing w:after="0"/>
        <w:ind w:left="0" w:firstLine="0"/>
        <w:jc w:val="both"/>
        <w:rPr>
          <w:rFonts w:asciiTheme="majorHAnsi" w:eastAsia="Times New Roman" w:hAnsiTheme="majorHAnsi" w:cstheme="majorHAnsi"/>
          <w:color w:val="000000"/>
          <w:sz w:val="24"/>
          <w:szCs w:val="24"/>
        </w:rPr>
      </w:pPr>
    </w:p>
    <w:p w14:paraId="7D62B97D" w14:textId="77777777" w:rsidR="00B34815" w:rsidRPr="00F32D0E" w:rsidRDefault="007213CB">
      <w:pPr>
        <w:numPr>
          <w:ilvl w:val="1"/>
          <w:numId w:val="5"/>
        </w:numPr>
        <w:pBdr>
          <w:top w:val="nil"/>
          <w:left w:val="nil"/>
          <w:bottom w:val="nil"/>
          <w:right w:val="nil"/>
          <w:between w:val="nil"/>
        </w:pBdr>
        <w:spacing w:after="0"/>
        <w:jc w:val="both"/>
        <w:rPr>
          <w:rFonts w:asciiTheme="majorHAnsi" w:eastAsia="Times New Roman" w:hAnsiTheme="majorHAnsi" w:cstheme="majorHAnsi"/>
          <w:color w:val="000000"/>
          <w:sz w:val="24"/>
          <w:szCs w:val="24"/>
        </w:rPr>
      </w:pPr>
      <w:r w:rsidRPr="00F32D0E">
        <w:rPr>
          <w:rFonts w:asciiTheme="majorHAnsi" w:eastAsia="Times New Roman" w:hAnsiTheme="majorHAnsi" w:cstheme="majorHAnsi"/>
          <w:b/>
          <w:color w:val="000000"/>
          <w:sz w:val="24"/>
          <w:szCs w:val="24"/>
        </w:rPr>
        <w:t xml:space="preserve">Date Rejected </w:t>
      </w:r>
      <w:r w:rsidRPr="00F32D0E">
        <w:rPr>
          <w:rFonts w:asciiTheme="majorHAnsi" w:eastAsia="Times New Roman" w:hAnsiTheme="majorHAnsi" w:cstheme="majorHAnsi"/>
          <w:color w:val="000000"/>
          <w:sz w:val="24"/>
          <w:szCs w:val="24"/>
        </w:rPr>
        <w:t xml:space="preserve">– </w:t>
      </w:r>
      <w:r w:rsidRPr="003F58EE">
        <w:rPr>
          <w:rFonts w:ascii="Calibri Light" w:eastAsia="Times New Roman" w:hAnsi="Calibri Light" w:cs="Calibri Light"/>
          <w:color w:val="000000"/>
          <w:sz w:val="24"/>
          <w:szCs w:val="24"/>
        </w:rPr>
        <w:t>The date on which the agency rejects an application (usually an appealable decision).</w:t>
      </w:r>
    </w:p>
    <w:p w14:paraId="4F72F675" w14:textId="77777777" w:rsidR="00B34815" w:rsidRPr="00F32D0E" w:rsidRDefault="00B34815">
      <w:pPr>
        <w:pBdr>
          <w:top w:val="nil"/>
          <w:left w:val="nil"/>
          <w:bottom w:val="nil"/>
          <w:right w:val="nil"/>
          <w:between w:val="nil"/>
        </w:pBdr>
        <w:spacing w:after="0"/>
        <w:ind w:left="0" w:firstLine="0"/>
        <w:jc w:val="both"/>
        <w:rPr>
          <w:rFonts w:asciiTheme="majorHAnsi" w:eastAsia="Times New Roman" w:hAnsiTheme="majorHAnsi" w:cstheme="majorHAnsi"/>
          <w:color w:val="000000"/>
          <w:sz w:val="24"/>
          <w:szCs w:val="24"/>
        </w:rPr>
      </w:pPr>
    </w:p>
    <w:p w14:paraId="0865BEB3" w14:textId="77777777" w:rsidR="00B34815" w:rsidRPr="00F32D0E" w:rsidRDefault="007213CB">
      <w:pPr>
        <w:numPr>
          <w:ilvl w:val="1"/>
          <w:numId w:val="5"/>
        </w:numPr>
        <w:pBdr>
          <w:top w:val="nil"/>
          <w:left w:val="nil"/>
          <w:bottom w:val="nil"/>
          <w:right w:val="nil"/>
          <w:between w:val="nil"/>
        </w:pBdr>
        <w:spacing w:after="0"/>
        <w:jc w:val="both"/>
        <w:rPr>
          <w:rFonts w:asciiTheme="majorHAnsi" w:eastAsia="Times New Roman" w:hAnsiTheme="majorHAnsi" w:cstheme="majorHAnsi"/>
          <w:color w:val="000000"/>
          <w:sz w:val="24"/>
          <w:szCs w:val="24"/>
        </w:rPr>
      </w:pPr>
      <w:r w:rsidRPr="00F32D0E">
        <w:rPr>
          <w:rFonts w:asciiTheme="majorHAnsi" w:eastAsia="Times New Roman" w:hAnsiTheme="majorHAnsi" w:cstheme="majorHAnsi"/>
          <w:b/>
          <w:color w:val="000000"/>
          <w:sz w:val="24"/>
          <w:szCs w:val="24"/>
        </w:rPr>
        <w:t xml:space="preserve">Date Withdrawn </w:t>
      </w:r>
      <w:r w:rsidRPr="00F32D0E">
        <w:rPr>
          <w:rFonts w:asciiTheme="majorHAnsi" w:eastAsia="Times New Roman" w:hAnsiTheme="majorHAnsi" w:cstheme="majorHAnsi"/>
          <w:color w:val="000000"/>
          <w:sz w:val="24"/>
          <w:szCs w:val="24"/>
        </w:rPr>
        <w:t xml:space="preserve">– </w:t>
      </w:r>
      <w:r w:rsidRPr="003F58EE">
        <w:rPr>
          <w:rFonts w:ascii="Calibri Light" w:eastAsia="Times New Roman" w:hAnsi="Calibri Light" w:cs="Calibri Light"/>
          <w:color w:val="000000"/>
          <w:sz w:val="24"/>
          <w:szCs w:val="24"/>
        </w:rPr>
        <w:t>The date on which an applicant notifies the agency it no longer wishes to pursue an application and withdraws the application.</w:t>
      </w:r>
    </w:p>
    <w:p w14:paraId="4251847C" w14:textId="77777777" w:rsidR="00B34815" w:rsidRPr="00F32D0E" w:rsidRDefault="00B34815">
      <w:pPr>
        <w:pBdr>
          <w:top w:val="nil"/>
          <w:left w:val="nil"/>
          <w:bottom w:val="nil"/>
          <w:right w:val="nil"/>
          <w:between w:val="nil"/>
        </w:pBdr>
        <w:spacing w:after="0"/>
        <w:ind w:left="0" w:firstLine="0"/>
        <w:jc w:val="both"/>
        <w:rPr>
          <w:rFonts w:asciiTheme="majorHAnsi" w:eastAsia="Times New Roman" w:hAnsiTheme="majorHAnsi" w:cstheme="majorHAnsi"/>
          <w:color w:val="000000"/>
          <w:sz w:val="24"/>
          <w:szCs w:val="24"/>
        </w:rPr>
      </w:pPr>
    </w:p>
    <w:p w14:paraId="4C54705F" w14:textId="77777777" w:rsidR="00B34815" w:rsidRPr="003F58EE" w:rsidRDefault="007213CB">
      <w:pPr>
        <w:numPr>
          <w:ilvl w:val="1"/>
          <w:numId w:val="5"/>
        </w:numPr>
        <w:pBdr>
          <w:top w:val="nil"/>
          <w:left w:val="nil"/>
          <w:bottom w:val="nil"/>
          <w:right w:val="nil"/>
          <w:between w:val="nil"/>
        </w:pBdr>
        <w:spacing w:after="0"/>
        <w:jc w:val="both"/>
        <w:rPr>
          <w:rFonts w:ascii="Calibri Light" w:eastAsia="Times New Roman" w:hAnsi="Calibri Light" w:cs="Calibri Light"/>
          <w:color w:val="000000"/>
          <w:sz w:val="24"/>
          <w:szCs w:val="24"/>
        </w:rPr>
      </w:pPr>
      <w:r w:rsidRPr="00F32D0E">
        <w:rPr>
          <w:rFonts w:asciiTheme="majorHAnsi" w:eastAsia="Times New Roman" w:hAnsiTheme="majorHAnsi" w:cstheme="majorHAnsi"/>
          <w:b/>
          <w:color w:val="000000"/>
          <w:sz w:val="24"/>
          <w:szCs w:val="24"/>
        </w:rPr>
        <w:t xml:space="preserve">Date Authorized </w:t>
      </w:r>
      <w:r w:rsidRPr="00F32D0E">
        <w:rPr>
          <w:rFonts w:asciiTheme="majorHAnsi" w:eastAsia="Times New Roman" w:hAnsiTheme="majorHAnsi" w:cstheme="majorHAnsi"/>
          <w:color w:val="000000"/>
          <w:sz w:val="24"/>
          <w:szCs w:val="24"/>
        </w:rPr>
        <w:t xml:space="preserve">– </w:t>
      </w:r>
      <w:r w:rsidRPr="003F58EE">
        <w:rPr>
          <w:rFonts w:ascii="Calibri Light" w:eastAsia="Times New Roman" w:hAnsi="Calibri Light" w:cs="Calibri Light"/>
          <w:color w:val="000000"/>
          <w:sz w:val="24"/>
          <w:szCs w:val="24"/>
        </w:rPr>
        <w:t xml:space="preserve">The date on which both the agency and the applicant agree to the contractual terms and conditions of an authorization. </w:t>
      </w:r>
    </w:p>
    <w:p w14:paraId="5E67D8DB" w14:textId="77777777" w:rsidR="00B34815" w:rsidRPr="00F32D0E" w:rsidRDefault="00B34815">
      <w:pPr>
        <w:pBdr>
          <w:top w:val="nil"/>
          <w:left w:val="nil"/>
          <w:bottom w:val="nil"/>
          <w:right w:val="nil"/>
          <w:between w:val="nil"/>
        </w:pBdr>
        <w:spacing w:after="0"/>
        <w:ind w:left="0" w:firstLine="0"/>
        <w:jc w:val="both"/>
        <w:rPr>
          <w:rFonts w:asciiTheme="majorHAnsi" w:eastAsia="Times New Roman" w:hAnsiTheme="majorHAnsi" w:cstheme="majorHAnsi"/>
          <w:color w:val="000000"/>
          <w:sz w:val="24"/>
          <w:szCs w:val="24"/>
        </w:rPr>
      </w:pPr>
    </w:p>
    <w:p w14:paraId="50F73C6C" w14:textId="77777777" w:rsidR="00B34815" w:rsidRPr="003F58EE" w:rsidRDefault="007213CB">
      <w:pPr>
        <w:numPr>
          <w:ilvl w:val="1"/>
          <w:numId w:val="5"/>
        </w:numPr>
        <w:pBdr>
          <w:top w:val="nil"/>
          <w:left w:val="nil"/>
          <w:bottom w:val="nil"/>
          <w:right w:val="nil"/>
          <w:between w:val="nil"/>
        </w:pBdr>
        <w:jc w:val="both"/>
        <w:rPr>
          <w:rFonts w:ascii="Calibri Light" w:eastAsia="Times New Roman" w:hAnsi="Calibri Light" w:cs="Calibri Light"/>
          <w:color w:val="000000"/>
          <w:sz w:val="24"/>
          <w:szCs w:val="24"/>
        </w:rPr>
      </w:pPr>
      <w:r w:rsidRPr="00F32D0E">
        <w:rPr>
          <w:rFonts w:asciiTheme="majorHAnsi" w:eastAsia="Times New Roman" w:hAnsiTheme="majorHAnsi" w:cstheme="majorHAnsi"/>
          <w:b/>
          <w:color w:val="000000"/>
          <w:sz w:val="24"/>
          <w:szCs w:val="24"/>
        </w:rPr>
        <w:t xml:space="preserve">Application Pending </w:t>
      </w:r>
      <w:r w:rsidRPr="00F32D0E">
        <w:rPr>
          <w:rFonts w:asciiTheme="majorHAnsi" w:eastAsia="Times New Roman" w:hAnsiTheme="majorHAnsi" w:cstheme="majorHAnsi"/>
          <w:color w:val="000000"/>
          <w:sz w:val="24"/>
          <w:szCs w:val="24"/>
        </w:rPr>
        <w:t xml:space="preserve">– </w:t>
      </w:r>
      <w:r w:rsidRPr="003F58EE">
        <w:rPr>
          <w:rFonts w:ascii="Calibri Light" w:eastAsia="Times New Roman" w:hAnsi="Calibri Light" w:cs="Calibri Light"/>
          <w:color w:val="000000"/>
          <w:sz w:val="24"/>
          <w:szCs w:val="24"/>
        </w:rPr>
        <w:t>An application that has been received by the agency, but not yet processed.</w:t>
      </w:r>
    </w:p>
    <w:p w14:paraId="6C7C189C" w14:textId="7F418A00" w:rsidR="00603489" w:rsidRDefault="007213CB">
      <w:pPr>
        <w:ind w:left="0" w:firstLine="0"/>
        <w:jc w:val="both"/>
        <w:rPr>
          <w:rFonts w:ascii="Calibri Light" w:eastAsia="Times New Roman" w:hAnsi="Calibri Light" w:cs="Calibri Light"/>
          <w:sz w:val="24"/>
          <w:szCs w:val="24"/>
        </w:rPr>
      </w:pPr>
      <w:r w:rsidRPr="003F58EE">
        <w:rPr>
          <w:rFonts w:ascii="Calibri Light" w:eastAsia="Times New Roman" w:hAnsi="Calibri Light" w:cs="Calibri Light"/>
          <w:sz w:val="24"/>
          <w:szCs w:val="24"/>
        </w:rPr>
        <w:t xml:space="preserve">GSA has reviewed and aggregated the responses to the survey questions and provides </w:t>
      </w:r>
      <w:r w:rsidR="00F85A88" w:rsidRPr="003F58EE">
        <w:rPr>
          <w:rFonts w:ascii="Calibri Light" w:eastAsia="Times New Roman" w:hAnsi="Calibri Light" w:cs="Calibri Light"/>
          <w:sz w:val="24"/>
          <w:szCs w:val="24"/>
        </w:rPr>
        <w:t xml:space="preserve">data most recently collected for </w:t>
      </w:r>
      <w:r w:rsidR="00A83AC8">
        <w:rPr>
          <w:rFonts w:ascii="Calibri Light" w:eastAsia="Times New Roman" w:hAnsi="Calibri Light" w:cs="Calibri Light"/>
          <w:sz w:val="24"/>
          <w:szCs w:val="24"/>
        </w:rPr>
        <w:t>Q</w:t>
      </w:r>
      <w:r w:rsidR="002B2524">
        <w:rPr>
          <w:rFonts w:ascii="Calibri Light" w:eastAsia="Times New Roman" w:hAnsi="Calibri Light" w:cs="Calibri Light"/>
          <w:sz w:val="24"/>
          <w:szCs w:val="24"/>
        </w:rPr>
        <w:t>1</w:t>
      </w:r>
      <w:r w:rsidR="00F85A88" w:rsidRPr="003F58EE">
        <w:rPr>
          <w:rFonts w:ascii="Calibri Light" w:eastAsia="Times New Roman" w:hAnsi="Calibri Light" w:cs="Calibri Light"/>
          <w:sz w:val="24"/>
          <w:szCs w:val="24"/>
        </w:rPr>
        <w:t xml:space="preserve"> of FY 2</w:t>
      </w:r>
      <w:r w:rsidR="00A83AC8">
        <w:rPr>
          <w:rFonts w:ascii="Calibri Light" w:eastAsia="Times New Roman" w:hAnsi="Calibri Light" w:cs="Calibri Light"/>
          <w:sz w:val="24"/>
          <w:szCs w:val="24"/>
        </w:rPr>
        <w:t>02</w:t>
      </w:r>
      <w:r w:rsidR="002B2524">
        <w:rPr>
          <w:rFonts w:ascii="Calibri Light" w:eastAsia="Times New Roman" w:hAnsi="Calibri Light" w:cs="Calibri Light"/>
          <w:sz w:val="24"/>
          <w:szCs w:val="24"/>
        </w:rPr>
        <w:t>3</w:t>
      </w:r>
      <w:r w:rsidR="00F85A88" w:rsidRPr="003F58EE">
        <w:rPr>
          <w:rFonts w:ascii="Calibri Light" w:eastAsia="Times New Roman" w:hAnsi="Calibri Light" w:cs="Calibri Light"/>
          <w:sz w:val="24"/>
          <w:szCs w:val="24"/>
        </w:rPr>
        <w:t xml:space="preserve">. </w:t>
      </w:r>
      <w:r w:rsidR="00B6615F">
        <w:rPr>
          <w:rFonts w:ascii="Calibri Light" w:eastAsia="Times New Roman" w:hAnsi="Calibri Light" w:cs="Calibri Light"/>
          <w:sz w:val="24"/>
          <w:szCs w:val="24"/>
        </w:rPr>
        <w:t xml:space="preserve"> </w:t>
      </w:r>
      <w:r w:rsidRPr="003F58EE">
        <w:rPr>
          <w:rFonts w:ascii="Calibri Light" w:eastAsia="Times New Roman" w:hAnsi="Calibri Light" w:cs="Calibri Light"/>
          <w:sz w:val="24"/>
          <w:szCs w:val="24"/>
        </w:rPr>
        <w:t>Of the 41 agencies and bureaus surveyed that meet the E.O.</w:t>
      </w:r>
      <w:r w:rsidR="0006301B" w:rsidRPr="003F58EE">
        <w:rPr>
          <w:rFonts w:ascii="Calibri Light" w:eastAsia="Times New Roman" w:hAnsi="Calibri Light" w:cs="Calibri Light"/>
          <w:sz w:val="24"/>
          <w:szCs w:val="24"/>
        </w:rPr>
        <w:t>’</w:t>
      </w:r>
      <w:r w:rsidRPr="003F58EE">
        <w:rPr>
          <w:rFonts w:ascii="Calibri Light" w:eastAsia="Times New Roman" w:hAnsi="Calibri Light" w:cs="Calibri Light"/>
          <w:sz w:val="24"/>
          <w:szCs w:val="24"/>
        </w:rPr>
        <w:t>s definition of Federal property managing agencies, 3</w:t>
      </w:r>
      <w:r w:rsidR="00316628">
        <w:rPr>
          <w:rFonts w:ascii="Calibri Light" w:eastAsia="Times New Roman" w:hAnsi="Calibri Light" w:cs="Calibri Light"/>
          <w:sz w:val="24"/>
          <w:szCs w:val="24"/>
        </w:rPr>
        <w:t>3</w:t>
      </w:r>
      <w:r w:rsidRPr="003F58EE">
        <w:rPr>
          <w:rFonts w:ascii="Calibri Light" w:eastAsia="Times New Roman" w:hAnsi="Calibri Light" w:cs="Calibri Light"/>
          <w:sz w:val="24"/>
          <w:szCs w:val="24"/>
        </w:rPr>
        <w:t xml:space="preserve"> responded to the survey and </w:t>
      </w:r>
      <w:r w:rsidR="00F56C27">
        <w:rPr>
          <w:rFonts w:ascii="Calibri Light" w:eastAsia="Times New Roman" w:hAnsi="Calibri Light" w:cs="Calibri Light"/>
          <w:sz w:val="24"/>
          <w:szCs w:val="24"/>
        </w:rPr>
        <w:t>7</w:t>
      </w:r>
      <w:r w:rsidRPr="003F58EE">
        <w:rPr>
          <w:rFonts w:ascii="Calibri Light" w:eastAsia="Times New Roman" w:hAnsi="Calibri Light" w:cs="Calibri Light"/>
          <w:sz w:val="24"/>
          <w:szCs w:val="24"/>
        </w:rPr>
        <w:t xml:space="preserve"> processed applications during the reporting period. </w:t>
      </w:r>
      <w:r w:rsidR="00FE5E66">
        <w:rPr>
          <w:rFonts w:ascii="Calibri Light" w:eastAsia="Times New Roman" w:hAnsi="Calibri Light" w:cs="Calibri Light"/>
          <w:sz w:val="24"/>
          <w:szCs w:val="24"/>
        </w:rPr>
        <w:t xml:space="preserve"> </w:t>
      </w:r>
      <w:r w:rsidRPr="003F58EE">
        <w:rPr>
          <w:rFonts w:ascii="Calibri Light" w:eastAsia="Times New Roman" w:hAnsi="Calibri Light" w:cs="Calibri Light"/>
          <w:sz w:val="24"/>
          <w:szCs w:val="24"/>
        </w:rPr>
        <w:t xml:space="preserve">Table 1 provides an aggregated summary of the number of applications received, the number of applications approved, the number of applications rejected, the number of working days each application was pending before being approved or rejected, the number of applications authorized, and the number of applications withdrawn. </w:t>
      </w:r>
    </w:p>
    <w:p w14:paraId="260E67BC" w14:textId="7321A7BE" w:rsidR="001571FE" w:rsidRPr="00156D92" w:rsidRDefault="001571FE" w:rsidP="00156D92">
      <w:pPr>
        <w:ind w:left="0" w:firstLine="0"/>
        <w:jc w:val="both"/>
        <w:rPr>
          <w:rFonts w:ascii="Calibri Light" w:eastAsia="Times New Roman" w:hAnsi="Calibri Light" w:cs="Calibri Light"/>
          <w:b/>
          <w:bCs/>
          <w:sz w:val="24"/>
          <w:szCs w:val="24"/>
        </w:rPr>
      </w:pPr>
      <w:r w:rsidRPr="00A0390B">
        <w:rPr>
          <w:b/>
          <w:bCs/>
        </w:rPr>
        <w:lastRenderedPageBreak/>
        <w:t xml:space="preserve">Table </w:t>
      </w:r>
      <w:r w:rsidRPr="00A0390B">
        <w:rPr>
          <w:b/>
          <w:bCs/>
        </w:rPr>
        <w:fldChar w:fldCharType="begin"/>
      </w:r>
      <w:r w:rsidRPr="00A0390B">
        <w:rPr>
          <w:b/>
          <w:bCs/>
        </w:rPr>
        <w:instrText xml:space="preserve"> SEQ Table \* ARABIC </w:instrText>
      </w:r>
      <w:r w:rsidRPr="00A0390B">
        <w:rPr>
          <w:b/>
          <w:bCs/>
        </w:rPr>
        <w:fldChar w:fldCharType="separate"/>
      </w:r>
      <w:r w:rsidRPr="00A0390B">
        <w:rPr>
          <w:b/>
          <w:bCs/>
          <w:noProof/>
        </w:rPr>
        <w:t>1</w:t>
      </w:r>
      <w:r w:rsidRPr="00A0390B">
        <w:rPr>
          <w:b/>
          <w:bCs/>
        </w:rPr>
        <w:fldChar w:fldCharType="end"/>
      </w:r>
      <w:r w:rsidRPr="00A0390B">
        <w:rPr>
          <w:b/>
          <w:bCs/>
        </w:rPr>
        <w:t>: Aggregate Summary of Reporting Results</w:t>
      </w:r>
    </w:p>
    <w:tbl>
      <w:tblPr>
        <w:tblStyle w:val="TableGrid"/>
        <w:tblpPr w:leftFromText="180" w:rightFromText="180" w:vertAnchor="page" w:horzAnchor="margin" w:tblpY="2056"/>
        <w:tblW w:w="8992" w:type="dxa"/>
        <w:tblLayout w:type="fixed"/>
        <w:tblLook w:val="0020" w:firstRow="1" w:lastRow="0" w:firstColumn="0" w:lastColumn="0" w:noHBand="0" w:noVBand="0"/>
      </w:tblPr>
      <w:tblGrid>
        <w:gridCol w:w="3534"/>
        <w:gridCol w:w="1341"/>
        <w:gridCol w:w="1341"/>
        <w:gridCol w:w="1327"/>
        <w:gridCol w:w="1449"/>
      </w:tblGrid>
      <w:tr w:rsidR="001571FE" w:rsidRPr="00005033" w14:paraId="0711ED00" w14:textId="77777777" w:rsidTr="000978CC">
        <w:trPr>
          <w:trHeight w:val="341"/>
        </w:trPr>
        <w:tc>
          <w:tcPr>
            <w:tcW w:w="3534" w:type="dxa"/>
            <w:shd w:val="clear" w:color="auto" w:fill="auto"/>
          </w:tcPr>
          <w:p w14:paraId="11AE5D82" w14:textId="77777777" w:rsidR="001571FE" w:rsidRPr="00005033" w:rsidRDefault="001571FE" w:rsidP="000978CC">
            <w:pPr>
              <w:ind w:left="2" w:hanging="4"/>
              <w:rPr>
                <w:rFonts w:asciiTheme="majorHAnsi" w:eastAsia="Arial" w:hAnsiTheme="majorHAnsi" w:cstheme="majorHAnsi"/>
                <w:sz w:val="24"/>
                <w:szCs w:val="24"/>
              </w:rPr>
            </w:pPr>
            <w:r w:rsidRPr="00005033">
              <w:rPr>
                <w:rFonts w:asciiTheme="majorHAnsi" w:eastAsia="Arial" w:hAnsiTheme="majorHAnsi" w:cstheme="majorHAnsi"/>
                <w:b/>
                <w:sz w:val="24"/>
                <w:szCs w:val="24"/>
              </w:rPr>
              <w:t>Description</w:t>
            </w:r>
          </w:p>
        </w:tc>
        <w:tc>
          <w:tcPr>
            <w:tcW w:w="1341" w:type="dxa"/>
            <w:shd w:val="clear" w:color="auto" w:fill="auto"/>
          </w:tcPr>
          <w:p w14:paraId="6945FF45" w14:textId="6A7AAE6D" w:rsidR="001571FE" w:rsidRPr="00005033" w:rsidRDefault="001571FE" w:rsidP="000978CC">
            <w:pPr>
              <w:ind w:left="0" w:firstLine="0"/>
              <w:rPr>
                <w:rFonts w:asciiTheme="majorHAnsi" w:eastAsia="Arial" w:hAnsiTheme="majorHAnsi" w:cstheme="majorHAnsi"/>
                <w:b/>
                <w:sz w:val="24"/>
                <w:szCs w:val="24"/>
              </w:rPr>
            </w:pPr>
            <w:r>
              <w:rPr>
                <w:rFonts w:asciiTheme="majorHAnsi" w:eastAsia="Arial" w:hAnsiTheme="majorHAnsi" w:cstheme="majorHAnsi"/>
                <w:b/>
                <w:sz w:val="24"/>
                <w:szCs w:val="24"/>
              </w:rPr>
              <w:t>Q</w:t>
            </w:r>
            <w:r w:rsidR="00E724FD">
              <w:rPr>
                <w:rFonts w:asciiTheme="majorHAnsi" w:eastAsia="Arial" w:hAnsiTheme="majorHAnsi" w:cstheme="majorHAnsi"/>
                <w:b/>
                <w:sz w:val="24"/>
                <w:szCs w:val="24"/>
              </w:rPr>
              <w:t>2</w:t>
            </w:r>
            <w:r>
              <w:rPr>
                <w:rFonts w:asciiTheme="majorHAnsi" w:eastAsia="Arial" w:hAnsiTheme="majorHAnsi" w:cstheme="majorHAnsi"/>
                <w:b/>
                <w:sz w:val="24"/>
                <w:szCs w:val="24"/>
              </w:rPr>
              <w:t xml:space="preserve"> FY22</w:t>
            </w:r>
          </w:p>
        </w:tc>
        <w:tc>
          <w:tcPr>
            <w:tcW w:w="1341" w:type="dxa"/>
            <w:shd w:val="clear" w:color="auto" w:fill="auto"/>
          </w:tcPr>
          <w:p w14:paraId="3D5ED900" w14:textId="4E2E89A9" w:rsidR="001571FE" w:rsidRPr="00005033" w:rsidRDefault="001571FE" w:rsidP="000978CC">
            <w:pPr>
              <w:ind w:left="0" w:firstLine="0"/>
              <w:rPr>
                <w:rFonts w:asciiTheme="majorHAnsi" w:eastAsia="Arial" w:hAnsiTheme="majorHAnsi" w:cstheme="majorHAnsi"/>
                <w:b/>
                <w:sz w:val="24"/>
                <w:szCs w:val="24"/>
              </w:rPr>
            </w:pPr>
            <w:r w:rsidRPr="00005033">
              <w:rPr>
                <w:rFonts w:asciiTheme="majorHAnsi" w:eastAsia="Cambria" w:hAnsiTheme="majorHAnsi" w:cstheme="majorHAnsi"/>
                <w:b/>
                <w:color w:val="000000"/>
                <w:sz w:val="24"/>
                <w:szCs w:val="24"/>
              </w:rPr>
              <w:t>Q</w:t>
            </w:r>
            <w:r w:rsidR="00E724FD">
              <w:rPr>
                <w:rFonts w:asciiTheme="majorHAnsi" w:eastAsia="Cambria" w:hAnsiTheme="majorHAnsi" w:cstheme="majorHAnsi"/>
                <w:b/>
                <w:color w:val="000000"/>
                <w:sz w:val="24"/>
                <w:szCs w:val="24"/>
              </w:rPr>
              <w:t>3</w:t>
            </w:r>
            <w:r w:rsidRPr="00005033">
              <w:rPr>
                <w:rFonts w:asciiTheme="majorHAnsi" w:eastAsia="Cambria" w:hAnsiTheme="majorHAnsi" w:cstheme="majorHAnsi"/>
                <w:b/>
                <w:color w:val="000000"/>
                <w:sz w:val="24"/>
                <w:szCs w:val="24"/>
              </w:rPr>
              <w:t xml:space="preserve"> FY 22</w:t>
            </w:r>
          </w:p>
        </w:tc>
        <w:tc>
          <w:tcPr>
            <w:tcW w:w="1327" w:type="dxa"/>
            <w:shd w:val="clear" w:color="auto" w:fill="auto"/>
          </w:tcPr>
          <w:p w14:paraId="7AB7B428" w14:textId="19BD9D89" w:rsidR="001571FE" w:rsidRPr="00005033" w:rsidRDefault="001571FE" w:rsidP="000978CC">
            <w:pPr>
              <w:ind w:left="0" w:firstLine="0"/>
              <w:rPr>
                <w:rFonts w:asciiTheme="majorHAnsi" w:eastAsia="Arial" w:hAnsiTheme="majorHAnsi" w:cstheme="majorHAnsi"/>
                <w:sz w:val="24"/>
                <w:szCs w:val="24"/>
              </w:rPr>
            </w:pPr>
            <w:r w:rsidRPr="00005033">
              <w:rPr>
                <w:rFonts w:asciiTheme="majorHAnsi" w:eastAsia="Cambria" w:hAnsiTheme="majorHAnsi" w:cstheme="majorHAnsi"/>
                <w:b/>
                <w:color w:val="000000"/>
                <w:sz w:val="24"/>
                <w:szCs w:val="24"/>
              </w:rPr>
              <w:t>Q</w:t>
            </w:r>
            <w:r w:rsidR="00E724FD">
              <w:rPr>
                <w:rFonts w:asciiTheme="majorHAnsi" w:eastAsia="Cambria" w:hAnsiTheme="majorHAnsi" w:cstheme="majorHAnsi"/>
                <w:b/>
                <w:color w:val="000000"/>
                <w:sz w:val="24"/>
                <w:szCs w:val="24"/>
              </w:rPr>
              <w:t>4</w:t>
            </w:r>
            <w:r w:rsidRPr="00005033">
              <w:rPr>
                <w:rFonts w:asciiTheme="majorHAnsi" w:eastAsia="Cambria" w:hAnsiTheme="majorHAnsi" w:cstheme="majorHAnsi"/>
                <w:b/>
                <w:color w:val="000000"/>
                <w:sz w:val="24"/>
                <w:szCs w:val="24"/>
              </w:rPr>
              <w:t xml:space="preserve"> FY22</w:t>
            </w:r>
          </w:p>
        </w:tc>
        <w:tc>
          <w:tcPr>
            <w:tcW w:w="1449" w:type="dxa"/>
            <w:shd w:val="clear" w:color="auto" w:fill="auto"/>
          </w:tcPr>
          <w:p w14:paraId="74875698" w14:textId="38D7BA58" w:rsidR="001571FE" w:rsidRPr="00005033" w:rsidRDefault="001571FE" w:rsidP="000978CC">
            <w:pPr>
              <w:ind w:left="0" w:firstLine="0"/>
              <w:rPr>
                <w:rFonts w:asciiTheme="majorHAnsi" w:eastAsia="Arial" w:hAnsiTheme="majorHAnsi" w:cstheme="majorHAnsi"/>
                <w:sz w:val="24"/>
                <w:szCs w:val="24"/>
              </w:rPr>
            </w:pPr>
            <w:r w:rsidRPr="00005033">
              <w:rPr>
                <w:rFonts w:asciiTheme="majorHAnsi" w:eastAsia="Cambria" w:hAnsiTheme="majorHAnsi" w:cstheme="majorHAnsi"/>
                <w:b/>
                <w:color w:val="000000"/>
                <w:sz w:val="24"/>
                <w:szCs w:val="24"/>
              </w:rPr>
              <w:t>Q</w:t>
            </w:r>
            <w:r w:rsidR="00E724FD">
              <w:rPr>
                <w:rFonts w:asciiTheme="majorHAnsi" w:eastAsia="Cambria" w:hAnsiTheme="majorHAnsi" w:cstheme="majorHAnsi"/>
                <w:b/>
                <w:color w:val="000000"/>
                <w:sz w:val="24"/>
                <w:szCs w:val="24"/>
              </w:rPr>
              <w:t>1</w:t>
            </w:r>
            <w:r w:rsidRPr="00005033">
              <w:rPr>
                <w:rFonts w:asciiTheme="majorHAnsi" w:eastAsia="Cambria" w:hAnsiTheme="majorHAnsi" w:cstheme="majorHAnsi"/>
                <w:b/>
                <w:color w:val="000000"/>
                <w:sz w:val="24"/>
                <w:szCs w:val="24"/>
              </w:rPr>
              <w:t xml:space="preserve"> FY2</w:t>
            </w:r>
            <w:r w:rsidR="00E724FD">
              <w:rPr>
                <w:rFonts w:asciiTheme="majorHAnsi" w:eastAsia="Cambria" w:hAnsiTheme="majorHAnsi" w:cstheme="majorHAnsi"/>
                <w:b/>
                <w:color w:val="000000"/>
                <w:sz w:val="24"/>
                <w:szCs w:val="24"/>
              </w:rPr>
              <w:t>3</w:t>
            </w:r>
          </w:p>
        </w:tc>
      </w:tr>
      <w:tr w:rsidR="001571FE" w:rsidRPr="00005033" w14:paraId="3859D876" w14:textId="77777777" w:rsidTr="000978CC">
        <w:trPr>
          <w:trHeight w:val="152"/>
        </w:trPr>
        <w:tc>
          <w:tcPr>
            <w:tcW w:w="3534" w:type="dxa"/>
          </w:tcPr>
          <w:p w14:paraId="55BDBC24" w14:textId="77777777" w:rsidR="001571FE" w:rsidRPr="00005033" w:rsidRDefault="001571FE" w:rsidP="000978CC">
            <w:pPr>
              <w:ind w:left="0" w:firstLine="0"/>
              <w:rPr>
                <w:rFonts w:asciiTheme="majorHAnsi" w:eastAsia="Arial" w:hAnsiTheme="majorHAnsi" w:cstheme="majorHAnsi"/>
              </w:rPr>
            </w:pPr>
          </w:p>
          <w:p w14:paraId="6AE7922F" w14:textId="77777777" w:rsidR="001571FE" w:rsidRPr="00005033" w:rsidRDefault="001571FE" w:rsidP="000978CC">
            <w:pPr>
              <w:ind w:left="0" w:firstLine="0"/>
              <w:rPr>
                <w:rFonts w:asciiTheme="majorHAnsi" w:eastAsia="Arial" w:hAnsiTheme="majorHAnsi" w:cstheme="majorHAnsi"/>
                <w:color w:val="000000"/>
              </w:rPr>
            </w:pPr>
            <w:r w:rsidRPr="00005033">
              <w:rPr>
                <w:rFonts w:asciiTheme="majorHAnsi" w:eastAsia="Arial" w:hAnsiTheme="majorHAnsi" w:cstheme="majorHAnsi"/>
                <w:color w:val="000000"/>
              </w:rPr>
              <w:t xml:space="preserve">Applications </w:t>
            </w:r>
            <w:r w:rsidRPr="00005033">
              <w:rPr>
                <w:rFonts w:asciiTheme="majorHAnsi" w:eastAsia="Arial" w:hAnsiTheme="majorHAnsi" w:cstheme="majorHAnsi"/>
              </w:rPr>
              <w:t>r</w:t>
            </w:r>
            <w:r w:rsidRPr="00005033">
              <w:rPr>
                <w:rFonts w:asciiTheme="majorHAnsi" w:eastAsia="Arial" w:hAnsiTheme="majorHAnsi" w:cstheme="majorHAnsi"/>
                <w:color w:val="000000"/>
              </w:rPr>
              <w:t>eceived</w:t>
            </w:r>
          </w:p>
        </w:tc>
        <w:tc>
          <w:tcPr>
            <w:tcW w:w="1341" w:type="dxa"/>
          </w:tcPr>
          <w:p w14:paraId="50DFFE7F" w14:textId="77777777" w:rsidR="001571FE" w:rsidRDefault="001571FE" w:rsidP="000978CC">
            <w:pPr>
              <w:ind w:left="0" w:firstLine="0"/>
              <w:jc w:val="right"/>
              <w:rPr>
                <w:rFonts w:asciiTheme="majorHAnsi" w:eastAsia="Arial" w:hAnsiTheme="majorHAnsi" w:cstheme="majorHAnsi"/>
              </w:rPr>
            </w:pPr>
          </w:p>
          <w:p w14:paraId="3C333DDB" w14:textId="5CF89967"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200</w:t>
            </w:r>
          </w:p>
        </w:tc>
        <w:tc>
          <w:tcPr>
            <w:tcW w:w="1341" w:type="dxa"/>
          </w:tcPr>
          <w:p w14:paraId="14D8CDBB" w14:textId="77777777" w:rsidR="001571FE" w:rsidRPr="00005033" w:rsidRDefault="001571FE" w:rsidP="000978CC">
            <w:pPr>
              <w:ind w:firstLine="0"/>
              <w:rPr>
                <w:rFonts w:asciiTheme="majorHAnsi" w:eastAsia="Cambria" w:hAnsiTheme="majorHAnsi" w:cstheme="majorHAnsi"/>
                <w:color w:val="000000"/>
              </w:rPr>
            </w:pPr>
          </w:p>
          <w:p w14:paraId="5C594A3C" w14:textId="066E363B" w:rsidR="001571FE" w:rsidRPr="00005033" w:rsidRDefault="00E724FD" w:rsidP="000978CC">
            <w:pPr>
              <w:ind w:left="0" w:firstLine="0"/>
              <w:jc w:val="right"/>
              <w:rPr>
                <w:rFonts w:asciiTheme="majorHAnsi" w:eastAsia="Arial" w:hAnsiTheme="majorHAnsi" w:cstheme="majorHAnsi"/>
              </w:rPr>
            </w:pPr>
            <w:r>
              <w:rPr>
                <w:rFonts w:asciiTheme="majorHAnsi" w:eastAsia="Cambria" w:hAnsiTheme="majorHAnsi" w:cstheme="majorHAnsi"/>
                <w:color w:val="000000"/>
              </w:rPr>
              <w:t>154</w:t>
            </w:r>
          </w:p>
        </w:tc>
        <w:tc>
          <w:tcPr>
            <w:tcW w:w="1327" w:type="dxa"/>
          </w:tcPr>
          <w:p w14:paraId="6881CEB0" w14:textId="77777777" w:rsidR="001571FE" w:rsidRPr="00005033" w:rsidRDefault="001571FE" w:rsidP="000978CC">
            <w:pPr>
              <w:ind w:firstLine="0"/>
              <w:jc w:val="right"/>
              <w:rPr>
                <w:rFonts w:asciiTheme="majorHAnsi" w:eastAsia="Cambria" w:hAnsiTheme="majorHAnsi" w:cstheme="majorHAnsi"/>
                <w:color w:val="000000"/>
              </w:rPr>
            </w:pPr>
          </w:p>
          <w:p w14:paraId="56E32F8C" w14:textId="17636192" w:rsidR="001571FE" w:rsidRPr="00005033" w:rsidRDefault="00E724FD" w:rsidP="000978CC">
            <w:pPr>
              <w:ind w:left="0" w:firstLine="0"/>
              <w:jc w:val="right"/>
              <w:rPr>
                <w:rFonts w:asciiTheme="majorHAnsi" w:eastAsia="Arial" w:hAnsiTheme="majorHAnsi" w:cstheme="majorHAnsi"/>
              </w:rPr>
            </w:pPr>
            <w:r>
              <w:rPr>
                <w:rFonts w:asciiTheme="majorHAnsi" w:eastAsia="Cambria" w:hAnsiTheme="majorHAnsi" w:cstheme="majorHAnsi"/>
                <w:color w:val="000000"/>
              </w:rPr>
              <w:t>262</w:t>
            </w:r>
          </w:p>
        </w:tc>
        <w:tc>
          <w:tcPr>
            <w:tcW w:w="1449" w:type="dxa"/>
          </w:tcPr>
          <w:p w14:paraId="64A3E021" w14:textId="77777777" w:rsidR="001571FE" w:rsidRPr="00005033" w:rsidRDefault="001571FE" w:rsidP="000978CC">
            <w:pPr>
              <w:ind w:firstLine="0"/>
              <w:jc w:val="right"/>
              <w:rPr>
                <w:rFonts w:asciiTheme="majorHAnsi" w:eastAsia="Cambria" w:hAnsiTheme="majorHAnsi" w:cstheme="majorHAnsi"/>
                <w:color w:val="000000"/>
              </w:rPr>
            </w:pPr>
          </w:p>
          <w:p w14:paraId="7DDA3CC2" w14:textId="21A56B1F" w:rsidR="001571FE" w:rsidRPr="00005033" w:rsidRDefault="00E04CE0" w:rsidP="000978CC">
            <w:pPr>
              <w:ind w:left="0" w:firstLine="0"/>
              <w:jc w:val="right"/>
              <w:rPr>
                <w:rFonts w:asciiTheme="majorHAnsi" w:eastAsia="Arial" w:hAnsiTheme="majorHAnsi" w:cstheme="majorHAnsi"/>
              </w:rPr>
            </w:pPr>
            <w:r>
              <w:rPr>
                <w:rFonts w:asciiTheme="majorHAnsi" w:eastAsia="Arial" w:hAnsiTheme="majorHAnsi" w:cstheme="majorHAnsi"/>
              </w:rPr>
              <w:t>149</w:t>
            </w:r>
          </w:p>
        </w:tc>
      </w:tr>
      <w:tr w:rsidR="001571FE" w:rsidRPr="00005033" w14:paraId="36C88491" w14:textId="77777777" w:rsidTr="000978CC">
        <w:trPr>
          <w:trHeight w:val="313"/>
        </w:trPr>
        <w:tc>
          <w:tcPr>
            <w:tcW w:w="8992" w:type="dxa"/>
            <w:gridSpan w:val="5"/>
          </w:tcPr>
          <w:p w14:paraId="69D1F59D" w14:textId="77777777" w:rsidR="001571FE" w:rsidRPr="00553746" w:rsidRDefault="001571FE" w:rsidP="000978CC">
            <w:pPr>
              <w:ind w:left="0" w:firstLine="0"/>
              <w:rPr>
                <w:rFonts w:asciiTheme="majorHAnsi" w:eastAsia="Arial" w:hAnsiTheme="majorHAnsi" w:cstheme="majorHAnsi"/>
                <w:i/>
                <w:iCs/>
              </w:rPr>
            </w:pPr>
            <w:r w:rsidRPr="00553746">
              <w:rPr>
                <w:rFonts w:asciiTheme="majorHAnsi" w:eastAsia="Arial" w:hAnsiTheme="majorHAnsi" w:cstheme="majorHAnsi"/>
                <w:i/>
                <w:iCs/>
                <w:color w:val="4F81BD" w:themeColor="accent1"/>
              </w:rPr>
              <w:t>Approvals</w:t>
            </w:r>
          </w:p>
        </w:tc>
      </w:tr>
      <w:tr w:rsidR="001571FE" w:rsidRPr="00005033" w14:paraId="48D21EA2" w14:textId="77777777" w:rsidTr="000978CC">
        <w:trPr>
          <w:trHeight w:val="335"/>
        </w:trPr>
        <w:tc>
          <w:tcPr>
            <w:tcW w:w="3534" w:type="dxa"/>
          </w:tcPr>
          <w:p w14:paraId="4592842B" w14:textId="77777777" w:rsidR="001571FE" w:rsidRDefault="001571FE" w:rsidP="000978CC">
            <w:pPr>
              <w:ind w:left="0" w:firstLine="0"/>
              <w:rPr>
                <w:rFonts w:asciiTheme="majorHAnsi" w:eastAsia="Arial" w:hAnsiTheme="majorHAnsi" w:cstheme="majorHAnsi"/>
                <w:color w:val="000000"/>
              </w:rPr>
            </w:pPr>
            <w:r>
              <w:rPr>
                <w:rFonts w:asciiTheme="majorHAnsi" w:eastAsia="Arial" w:hAnsiTheme="majorHAnsi" w:cstheme="majorHAnsi"/>
                <w:color w:val="000000"/>
              </w:rPr>
              <w:t xml:space="preserve">     </w:t>
            </w:r>
            <w:r w:rsidRPr="00553746">
              <w:rPr>
                <w:rFonts w:asciiTheme="majorHAnsi" w:eastAsia="Arial" w:hAnsiTheme="majorHAnsi" w:cstheme="majorHAnsi"/>
                <w:color w:val="000000"/>
              </w:rPr>
              <w:t>Applications approved</w:t>
            </w:r>
          </w:p>
        </w:tc>
        <w:tc>
          <w:tcPr>
            <w:tcW w:w="1341" w:type="dxa"/>
          </w:tcPr>
          <w:p w14:paraId="20E54921" w14:textId="610EF9E5" w:rsidR="001571FE" w:rsidRPr="00553746" w:rsidRDefault="00E724FD" w:rsidP="000978CC">
            <w:pPr>
              <w:ind w:firstLine="0"/>
              <w:jc w:val="right"/>
              <w:rPr>
                <w:rFonts w:asciiTheme="majorHAnsi" w:eastAsia="Arial" w:hAnsiTheme="majorHAnsi" w:cstheme="majorHAnsi"/>
                <w:color w:val="000000"/>
              </w:rPr>
            </w:pPr>
            <w:r>
              <w:rPr>
                <w:rFonts w:asciiTheme="majorHAnsi" w:eastAsia="Arial" w:hAnsiTheme="majorHAnsi" w:cstheme="majorHAnsi"/>
                <w:color w:val="000000"/>
              </w:rPr>
              <w:t>200</w:t>
            </w:r>
          </w:p>
        </w:tc>
        <w:tc>
          <w:tcPr>
            <w:tcW w:w="1341" w:type="dxa"/>
          </w:tcPr>
          <w:p w14:paraId="173332DC" w14:textId="7B397FEA" w:rsidR="001571FE" w:rsidRPr="00553746" w:rsidRDefault="00E724FD" w:rsidP="000978CC">
            <w:pPr>
              <w:ind w:firstLine="0"/>
              <w:jc w:val="right"/>
              <w:rPr>
                <w:rFonts w:asciiTheme="majorHAnsi" w:eastAsia="Arial" w:hAnsiTheme="majorHAnsi" w:cstheme="majorHAnsi"/>
                <w:color w:val="000000"/>
              </w:rPr>
            </w:pPr>
            <w:r>
              <w:rPr>
                <w:rFonts w:asciiTheme="majorHAnsi" w:eastAsia="Arial" w:hAnsiTheme="majorHAnsi" w:cstheme="majorHAnsi"/>
                <w:color w:val="000000"/>
              </w:rPr>
              <w:t>108</w:t>
            </w:r>
          </w:p>
        </w:tc>
        <w:tc>
          <w:tcPr>
            <w:tcW w:w="1327" w:type="dxa"/>
          </w:tcPr>
          <w:p w14:paraId="2232DA6C" w14:textId="339C38FB" w:rsidR="001571FE" w:rsidRPr="00553746" w:rsidRDefault="00E724FD" w:rsidP="000978CC">
            <w:pPr>
              <w:ind w:left="0" w:firstLine="0"/>
              <w:jc w:val="right"/>
              <w:rPr>
                <w:rFonts w:asciiTheme="majorHAnsi" w:eastAsia="Arial" w:hAnsiTheme="majorHAnsi" w:cstheme="majorHAnsi"/>
                <w:color w:val="000000"/>
              </w:rPr>
            </w:pPr>
            <w:r>
              <w:rPr>
                <w:rFonts w:asciiTheme="majorHAnsi" w:eastAsia="Arial" w:hAnsiTheme="majorHAnsi" w:cstheme="majorHAnsi"/>
                <w:color w:val="000000"/>
              </w:rPr>
              <w:t>165</w:t>
            </w:r>
          </w:p>
        </w:tc>
        <w:tc>
          <w:tcPr>
            <w:tcW w:w="1449" w:type="dxa"/>
          </w:tcPr>
          <w:p w14:paraId="13F21311" w14:textId="185A5E9A" w:rsidR="001571FE" w:rsidRPr="00553746" w:rsidRDefault="00E04CE0" w:rsidP="000978CC">
            <w:pPr>
              <w:ind w:left="0" w:firstLine="0"/>
              <w:jc w:val="right"/>
              <w:rPr>
                <w:rFonts w:asciiTheme="majorHAnsi" w:eastAsia="Arial" w:hAnsiTheme="majorHAnsi" w:cstheme="majorHAnsi"/>
                <w:color w:val="000000"/>
              </w:rPr>
            </w:pPr>
            <w:r>
              <w:rPr>
                <w:rFonts w:asciiTheme="majorHAnsi" w:eastAsia="Arial" w:hAnsiTheme="majorHAnsi" w:cstheme="majorHAnsi"/>
                <w:color w:val="000000"/>
              </w:rPr>
              <w:t>80</w:t>
            </w:r>
          </w:p>
        </w:tc>
      </w:tr>
      <w:tr w:rsidR="001571FE" w:rsidRPr="00005033" w14:paraId="273776AD" w14:textId="77777777" w:rsidTr="000978CC">
        <w:trPr>
          <w:trHeight w:val="313"/>
        </w:trPr>
        <w:tc>
          <w:tcPr>
            <w:tcW w:w="3534" w:type="dxa"/>
          </w:tcPr>
          <w:p w14:paraId="3FEE142E" w14:textId="77777777" w:rsidR="001571FE" w:rsidRPr="00553746" w:rsidRDefault="001571FE" w:rsidP="000978CC">
            <w:pPr>
              <w:ind w:left="0" w:firstLine="0"/>
              <w:rPr>
                <w:rFonts w:asciiTheme="majorHAnsi" w:eastAsia="Arial" w:hAnsiTheme="majorHAnsi" w:cstheme="majorHAnsi"/>
                <w:color w:val="000000"/>
              </w:rPr>
            </w:pPr>
            <w:r>
              <w:rPr>
                <w:rFonts w:asciiTheme="majorHAnsi" w:eastAsia="Arial" w:hAnsiTheme="majorHAnsi" w:cstheme="majorHAnsi"/>
                <w:color w:val="000000"/>
              </w:rPr>
              <w:t xml:space="preserve">     </w:t>
            </w:r>
            <w:r w:rsidRPr="00553746">
              <w:rPr>
                <w:rFonts w:asciiTheme="majorHAnsi" w:eastAsia="Arial" w:hAnsiTheme="majorHAnsi" w:cstheme="majorHAnsi"/>
                <w:color w:val="000000"/>
              </w:rPr>
              <w:t>Average # days applications pending before approval</w:t>
            </w:r>
          </w:p>
        </w:tc>
        <w:tc>
          <w:tcPr>
            <w:tcW w:w="1341" w:type="dxa"/>
          </w:tcPr>
          <w:p w14:paraId="2B88EEB2" w14:textId="77777777" w:rsidR="001571FE" w:rsidRPr="00005033" w:rsidRDefault="001571FE" w:rsidP="000978CC">
            <w:pPr>
              <w:ind w:firstLine="0"/>
              <w:jc w:val="right"/>
              <w:rPr>
                <w:rFonts w:asciiTheme="majorHAnsi" w:eastAsia="Cambria" w:hAnsiTheme="majorHAnsi" w:cstheme="majorHAnsi"/>
                <w:color w:val="000000"/>
              </w:rPr>
            </w:pPr>
          </w:p>
          <w:p w14:paraId="3F39EF2B" w14:textId="7AC70ACC" w:rsidR="001571FE" w:rsidRPr="00005033" w:rsidRDefault="00E724FD" w:rsidP="000978CC">
            <w:pPr>
              <w:ind w:firstLine="0"/>
              <w:jc w:val="right"/>
              <w:rPr>
                <w:rFonts w:asciiTheme="majorHAnsi" w:eastAsia="Cambria" w:hAnsiTheme="majorHAnsi" w:cstheme="majorHAnsi"/>
                <w:color w:val="000000"/>
              </w:rPr>
            </w:pPr>
            <w:r>
              <w:rPr>
                <w:rFonts w:asciiTheme="majorHAnsi" w:eastAsia="Cambria" w:hAnsiTheme="majorHAnsi" w:cstheme="majorHAnsi"/>
                <w:color w:val="000000"/>
              </w:rPr>
              <w:t>231</w:t>
            </w:r>
          </w:p>
        </w:tc>
        <w:tc>
          <w:tcPr>
            <w:tcW w:w="1341" w:type="dxa"/>
          </w:tcPr>
          <w:p w14:paraId="2C99098E" w14:textId="77777777" w:rsidR="001571FE" w:rsidRPr="00005033" w:rsidRDefault="001571FE" w:rsidP="000978CC">
            <w:pPr>
              <w:ind w:firstLine="0"/>
              <w:jc w:val="right"/>
              <w:rPr>
                <w:rFonts w:asciiTheme="majorHAnsi" w:eastAsia="Cambria" w:hAnsiTheme="majorHAnsi" w:cstheme="majorHAnsi"/>
                <w:color w:val="000000"/>
              </w:rPr>
            </w:pPr>
          </w:p>
          <w:p w14:paraId="06106AA0" w14:textId="576D18D7" w:rsidR="001571FE" w:rsidRPr="00005033" w:rsidRDefault="00E724FD" w:rsidP="000978CC">
            <w:pPr>
              <w:ind w:firstLine="0"/>
              <w:jc w:val="right"/>
              <w:rPr>
                <w:rFonts w:asciiTheme="majorHAnsi" w:eastAsia="Cambria" w:hAnsiTheme="majorHAnsi" w:cstheme="majorHAnsi"/>
                <w:color w:val="000000"/>
              </w:rPr>
            </w:pPr>
            <w:r>
              <w:rPr>
                <w:rFonts w:asciiTheme="majorHAnsi" w:eastAsia="Cambria" w:hAnsiTheme="majorHAnsi" w:cstheme="majorHAnsi"/>
                <w:color w:val="000000"/>
              </w:rPr>
              <w:t>188</w:t>
            </w:r>
          </w:p>
        </w:tc>
        <w:tc>
          <w:tcPr>
            <w:tcW w:w="1327" w:type="dxa"/>
          </w:tcPr>
          <w:p w14:paraId="3ED72E07" w14:textId="77777777" w:rsidR="001571FE" w:rsidRPr="00005033" w:rsidRDefault="001571FE" w:rsidP="000978CC">
            <w:pPr>
              <w:ind w:left="0" w:firstLine="0"/>
              <w:jc w:val="right"/>
              <w:rPr>
                <w:rFonts w:asciiTheme="majorHAnsi" w:eastAsia="Arial" w:hAnsiTheme="majorHAnsi" w:cstheme="majorHAnsi"/>
              </w:rPr>
            </w:pPr>
          </w:p>
          <w:p w14:paraId="600D9B55" w14:textId="4F1BC593"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233</w:t>
            </w:r>
          </w:p>
        </w:tc>
        <w:tc>
          <w:tcPr>
            <w:tcW w:w="1449" w:type="dxa"/>
          </w:tcPr>
          <w:p w14:paraId="050CEF16" w14:textId="77777777" w:rsidR="001571FE" w:rsidRPr="00005033" w:rsidRDefault="001571FE" w:rsidP="000978CC">
            <w:pPr>
              <w:ind w:left="0" w:firstLine="0"/>
              <w:jc w:val="right"/>
              <w:rPr>
                <w:rFonts w:asciiTheme="majorHAnsi" w:eastAsia="Arial" w:hAnsiTheme="majorHAnsi" w:cstheme="majorHAnsi"/>
              </w:rPr>
            </w:pPr>
          </w:p>
          <w:p w14:paraId="5C3CE559" w14:textId="6648A99F" w:rsidR="001571FE" w:rsidRPr="00005033" w:rsidRDefault="001571FE" w:rsidP="000978CC">
            <w:pPr>
              <w:ind w:left="0" w:firstLine="0"/>
              <w:jc w:val="right"/>
              <w:rPr>
                <w:rFonts w:asciiTheme="majorHAnsi" w:eastAsia="Arial" w:hAnsiTheme="majorHAnsi" w:cstheme="majorHAnsi"/>
              </w:rPr>
            </w:pPr>
            <w:r>
              <w:rPr>
                <w:rFonts w:asciiTheme="majorHAnsi" w:eastAsia="Arial" w:hAnsiTheme="majorHAnsi" w:cstheme="majorHAnsi"/>
              </w:rPr>
              <w:t>2</w:t>
            </w:r>
            <w:r w:rsidR="00E04CE0">
              <w:rPr>
                <w:rFonts w:asciiTheme="majorHAnsi" w:eastAsia="Arial" w:hAnsiTheme="majorHAnsi" w:cstheme="majorHAnsi"/>
              </w:rPr>
              <w:t>02</w:t>
            </w:r>
          </w:p>
        </w:tc>
      </w:tr>
      <w:tr w:rsidR="001571FE" w:rsidRPr="00005033" w14:paraId="75951BC2" w14:textId="77777777" w:rsidTr="000978CC">
        <w:trPr>
          <w:trHeight w:val="313"/>
        </w:trPr>
        <w:tc>
          <w:tcPr>
            <w:tcW w:w="3534" w:type="dxa"/>
          </w:tcPr>
          <w:p w14:paraId="15D0A18B" w14:textId="77777777" w:rsidR="001571FE" w:rsidRDefault="001571FE" w:rsidP="000978CC">
            <w:pPr>
              <w:ind w:left="0" w:firstLine="0"/>
              <w:rPr>
                <w:rFonts w:asciiTheme="majorHAnsi" w:eastAsia="Arial" w:hAnsiTheme="majorHAnsi" w:cstheme="majorHAnsi"/>
              </w:rPr>
            </w:pPr>
            <w:r>
              <w:rPr>
                <w:rFonts w:asciiTheme="majorHAnsi" w:eastAsia="Arial" w:hAnsiTheme="majorHAnsi" w:cstheme="majorHAnsi"/>
              </w:rPr>
              <w:t xml:space="preserve">     </w:t>
            </w:r>
            <w:r w:rsidRPr="00553746">
              <w:rPr>
                <w:rFonts w:asciiTheme="majorHAnsi" w:eastAsia="Arial" w:hAnsiTheme="majorHAnsi" w:cstheme="majorHAnsi"/>
              </w:rPr>
              <w:t xml:space="preserve">Applications approved </w:t>
            </w:r>
            <w:r>
              <w:rPr>
                <w:rFonts w:asciiTheme="majorHAnsi" w:eastAsia="Arial" w:hAnsiTheme="majorHAnsi" w:cstheme="majorHAnsi"/>
              </w:rPr>
              <w:t>&lt;</w:t>
            </w:r>
            <w:r w:rsidRPr="00553746">
              <w:rPr>
                <w:rFonts w:asciiTheme="majorHAnsi" w:eastAsia="Arial" w:hAnsiTheme="majorHAnsi" w:cstheme="majorHAnsi"/>
              </w:rPr>
              <w:t xml:space="preserve"> 270 days</w:t>
            </w:r>
          </w:p>
        </w:tc>
        <w:tc>
          <w:tcPr>
            <w:tcW w:w="1341" w:type="dxa"/>
          </w:tcPr>
          <w:p w14:paraId="7FD20B0A" w14:textId="77777777" w:rsidR="001571FE" w:rsidRPr="00005033" w:rsidRDefault="001571FE" w:rsidP="000978CC">
            <w:pPr>
              <w:ind w:firstLine="0"/>
              <w:jc w:val="right"/>
              <w:rPr>
                <w:rFonts w:asciiTheme="majorHAnsi" w:eastAsia="Cambria" w:hAnsiTheme="majorHAnsi" w:cstheme="majorHAnsi"/>
                <w:color w:val="000000"/>
              </w:rPr>
            </w:pPr>
            <w:r w:rsidRPr="00005033">
              <w:rPr>
                <w:rFonts w:asciiTheme="majorHAnsi" w:eastAsia="Cambria" w:hAnsiTheme="majorHAnsi" w:cstheme="majorHAnsi"/>
                <w:color w:val="000000"/>
              </w:rPr>
              <w:t>—</w:t>
            </w:r>
          </w:p>
        </w:tc>
        <w:tc>
          <w:tcPr>
            <w:tcW w:w="1341" w:type="dxa"/>
          </w:tcPr>
          <w:p w14:paraId="37FE6BA8" w14:textId="3408117F" w:rsidR="001571FE" w:rsidRPr="00005033" w:rsidRDefault="00E724FD" w:rsidP="000978CC">
            <w:pPr>
              <w:ind w:firstLine="0"/>
              <w:jc w:val="right"/>
              <w:rPr>
                <w:rFonts w:asciiTheme="majorHAnsi" w:eastAsia="Cambria" w:hAnsiTheme="majorHAnsi" w:cstheme="majorHAnsi"/>
                <w:color w:val="000000"/>
              </w:rPr>
            </w:pPr>
            <w:r>
              <w:rPr>
                <w:rFonts w:asciiTheme="majorHAnsi" w:eastAsia="Cambria" w:hAnsiTheme="majorHAnsi" w:cstheme="majorHAnsi"/>
                <w:color w:val="000000"/>
              </w:rPr>
              <w:t>99</w:t>
            </w:r>
          </w:p>
        </w:tc>
        <w:tc>
          <w:tcPr>
            <w:tcW w:w="1327" w:type="dxa"/>
          </w:tcPr>
          <w:p w14:paraId="3674CA99" w14:textId="3033393B" w:rsidR="001571FE" w:rsidRPr="00005033" w:rsidRDefault="00E724FD" w:rsidP="000978CC">
            <w:pPr>
              <w:ind w:left="0" w:firstLine="0"/>
              <w:jc w:val="right"/>
              <w:rPr>
                <w:rFonts w:asciiTheme="majorHAnsi" w:eastAsia="Cambria" w:hAnsiTheme="majorHAnsi" w:cstheme="majorHAnsi"/>
                <w:color w:val="000000"/>
              </w:rPr>
            </w:pPr>
            <w:r>
              <w:rPr>
                <w:rFonts w:asciiTheme="majorHAnsi" w:eastAsia="Cambria" w:hAnsiTheme="majorHAnsi" w:cstheme="majorHAnsi"/>
                <w:color w:val="000000"/>
              </w:rPr>
              <w:t>114</w:t>
            </w:r>
          </w:p>
        </w:tc>
        <w:tc>
          <w:tcPr>
            <w:tcW w:w="1449" w:type="dxa"/>
          </w:tcPr>
          <w:p w14:paraId="398D1CC2" w14:textId="1FEBDFEB" w:rsidR="001571FE" w:rsidRPr="00005033" w:rsidRDefault="00854ADC" w:rsidP="000978CC">
            <w:pPr>
              <w:ind w:left="0" w:firstLine="0"/>
              <w:jc w:val="right"/>
              <w:rPr>
                <w:rFonts w:asciiTheme="majorHAnsi" w:eastAsia="Arial" w:hAnsiTheme="majorHAnsi" w:cstheme="majorHAnsi"/>
              </w:rPr>
            </w:pPr>
            <w:r>
              <w:rPr>
                <w:rFonts w:asciiTheme="majorHAnsi" w:eastAsia="Arial" w:hAnsiTheme="majorHAnsi" w:cstheme="majorHAnsi"/>
              </w:rPr>
              <w:t>64</w:t>
            </w:r>
          </w:p>
        </w:tc>
      </w:tr>
      <w:tr w:rsidR="001571FE" w:rsidRPr="00005033" w14:paraId="1A400F77" w14:textId="77777777" w:rsidTr="000978CC">
        <w:trPr>
          <w:trHeight w:val="313"/>
        </w:trPr>
        <w:tc>
          <w:tcPr>
            <w:tcW w:w="3534" w:type="dxa"/>
          </w:tcPr>
          <w:p w14:paraId="7456E725" w14:textId="77777777" w:rsidR="001571FE" w:rsidRDefault="001571FE" w:rsidP="000978CC">
            <w:pPr>
              <w:ind w:left="0" w:firstLine="0"/>
              <w:rPr>
                <w:rFonts w:asciiTheme="majorHAnsi" w:eastAsia="Arial" w:hAnsiTheme="majorHAnsi" w:cstheme="majorHAnsi"/>
              </w:rPr>
            </w:pPr>
            <w:r>
              <w:rPr>
                <w:rFonts w:asciiTheme="majorHAnsi" w:eastAsia="Arial" w:hAnsiTheme="majorHAnsi" w:cstheme="majorHAnsi"/>
              </w:rPr>
              <w:t xml:space="preserve">     </w:t>
            </w:r>
            <w:r w:rsidRPr="00553746">
              <w:rPr>
                <w:rFonts w:asciiTheme="majorHAnsi" w:eastAsia="Arial" w:hAnsiTheme="majorHAnsi" w:cstheme="majorHAnsi"/>
              </w:rPr>
              <w:t xml:space="preserve">Applications approved </w:t>
            </w:r>
            <w:r>
              <w:rPr>
                <w:rFonts w:asciiTheme="majorHAnsi" w:eastAsia="Arial" w:hAnsiTheme="majorHAnsi" w:cstheme="majorHAnsi"/>
              </w:rPr>
              <w:t>&gt;</w:t>
            </w:r>
            <w:r w:rsidRPr="00553746">
              <w:rPr>
                <w:rFonts w:asciiTheme="majorHAnsi" w:eastAsia="Arial" w:hAnsiTheme="majorHAnsi" w:cstheme="majorHAnsi"/>
              </w:rPr>
              <w:t xml:space="preserve"> 270 days</w:t>
            </w:r>
          </w:p>
        </w:tc>
        <w:tc>
          <w:tcPr>
            <w:tcW w:w="1341" w:type="dxa"/>
          </w:tcPr>
          <w:p w14:paraId="44EE7871" w14:textId="77777777" w:rsidR="001571FE" w:rsidRPr="00005033" w:rsidRDefault="001571FE" w:rsidP="000978CC">
            <w:pPr>
              <w:ind w:firstLine="0"/>
              <w:jc w:val="right"/>
              <w:rPr>
                <w:rFonts w:asciiTheme="majorHAnsi" w:eastAsia="Cambria" w:hAnsiTheme="majorHAnsi" w:cstheme="majorHAnsi"/>
                <w:color w:val="000000"/>
              </w:rPr>
            </w:pPr>
            <w:r w:rsidRPr="00005033">
              <w:rPr>
                <w:rFonts w:asciiTheme="majorHAnsi" w:eastAsia="Cambria" w:hAnsiTheme="majorHAnsi" w:cstheme="majorHAnsi"/>
                <w:color w:val="000000"/>
              </w:rPr>
              <w:t>—</w:t>
            </w:r>
          </w:p>
        </w:tc>
        <w:tc>
          <w:tcPr>
            <w:tcW w:w="1341" w:type="dxa"/>
          </w:tcPr>
          <w:p w14:paraId="0B8F6696" w14:textId="2CE77753" w:rsidR="001571FE" w:rsidRPr="00005033" w:rsidRDefault="00E724FD" w:rsidP="000978CC">
            <w:pPr>
              <w:ind w:firstLine="0"/>
              <w:jc w:val="right"/>
              <w:rPr>
                <w:rFonts w:asciiTheme="majorHAnsi" w:eastAsia="Cambria" w:hAnsiTheme="majorHAnsi" w:cstheme="majorHAnsi"/>
                <w:color w:val="000000"/>
              </w:rPr>
            </w:pPr>
            <w:r>
              <w:rPr>
                <w:rFonts w:asciiTheme="majorHAnsi" w:eastAsia="Cambria" w:hAnsiTheme="majorHAnsi" w:cstheme="majorHAnsi"/>
                <w:color w:val="000000"/>
              </w:rPr>
              <w:t>9</w:t>
            </w:r>
          </w:p>
        </w:tc>
        <w:tc>
          <w:tcPr>
            <w:tcW w:w="1327" w:type="dxa"/>
          </w:tcPr>
          <w:p w14:paraId="175F52AD" w14:textId="3F7156FD" w:rsidR="001571FE" w:rsidRPr="00005033" w:rsidRDefault="00E724FD" w:rsidP="000978CC">
            <w:pPr>
              <w:ind w:left="0" w:firstLine="0"/>
              <w:jc w:val="right"/>
              <w:rPr>
                <w:rFonts w:asciiTheme="majorHAnsi" w:eastAsia="Cambria" w:hAnsiTheme="majorHAnsi" w:cstheme="majorHAnsi"/>
                <w:color w:val="000000"/>
              </w:rPr>
            </w:pPr>
            <w:r>
              <w:rPr>
                <w:rFonts w:asciiTheme="majorHAnsi" w:eastAsia="Cambria" w:hAnsiTheme="majorHAnsi" w:cstheme="majorHAnsi"/>
                <w:color w:val="000000"/>
              </w:rPr>
              <w:t>51</w:t>
            </w:r>
          </w:p>
        </w:tc>
        <w:tc>
          <w:tcPr>
            <w:tcW w:w="1449" w:type="dxa"/>
          </w:tcPr>
          <w:p w14:paraId="3EF36395" w14:textId="4D05135B" w:rsidR="001571FE" w:rsidRPr="00005033" w:rsidRDefault="007B3848" w:rsidP="000978CC">
            <w:pPr>
              <w:ind w:left="0" w:firstLine="0"/>
              <w:jc w:val="right"/>
              <w:rPr>
                <w:rFonts w:asciiTheme="majorHAnsi" w:eastAsia="Arial" w:hAnsiTheme="majorHAnsi" w:cstheme="majorHAnsi"/>
              </w:rPr>
            </w:pPr>
            <w:r>
              <w:rPr>
                <w:rFonts w:asciiTheme="majorHAnsi" w:eastAsia="Arial" w:hAnsiTheme="majorHAnsi" w:cstheme="majorHAnsi"/>
              </w:rPr>
              <w:t>16</w:t>
            </w:r>
          </w:p>
        </w:tc>
      </w:tr>
      <w:tr w:rsidR="001571FE" w:rsidRPr="00005033" w14:paraId="1993F4FA" w14:textId="77777777" w:rsidTr="000978CC">
        <w:trPr>
          <w:trHeight w:val="313"/>
        </w:trPr>
        <w:tc>
          <w:tcPr>
            <w:tcW w:w="8992" w:type="dxa"/>
            <w:gridSpan w:val="5"/>
          </w:tcPr>
          <w:p w14:paraId="269E14E2" w14:textId="77777777" w:rsidR="001571FE" w:rsidRPr="00553746" w:rsidRDefault="001571FE" w:rsidP="000978CC">
            <w:pPr>
              <w:ind w:left="0" w:firstLine="0"/>
              <w:rPr>
                <w:rFonts w:asciiTheme="majorHAnsi" w:eastAsia="Arial" w:hAnsiTheme="majorHAnsi" w:cstheme="majorHAnsi"/>
                <w:i/>
                <w:iCs/>
                <w:color w:val="4F81BD" w:themeColor="accent1"/>
              </w:rPr>
            </w:pPr>
            <w:r w:rsidRPr="00553746">
              <w:rPr>
                <w:rFonts w:asciiTheme="majorHAnsi" w:eastAsia="Arial" w:hAnsiTheme="majorHAnsi" w:cstheme="majorHAnsi"/>
                <w:i/>
                <w:iCs/>
                <w:color w:val="4F81BD" w:themeColor="accent1"/>
              </w:rPr>
              <w:t>Rejections</w:t>
            </w:r>
          </w:p>
        </w:tc>
      </w:tr>
      <w:tr w:rsidR="001571FE" w:rsidRPr="00005033" w14:paraId="21A5A46B" w14:textId="77777777" w:rsidTr="000978CC">
        <w:trPr>
          <w:trHeight w:val="313"/>
        </w:trPr>
        <w:tc>
          <w:tcPr>
            <w:tcW w:w="3534" w:type="dxa"/>
          </w:tcPr>
          <w:p w14:paraId="5C29CA40" w14:textId="77777777" w:rsidR="001571FE" w:rsidRDefault="001571FE" w:rsidP="000978CC">
            <w:pPr>
              <w:ind w:left="0" w:firstLine="0"/>
              <w:rPr>
                <w:rFonts w:asciiTheme="majorHAnsi" w:eastAsia="Arial" w:hAnsiTheme="majorHAnsi" w:cstheme="majorHAnsi"/>
                <w:color w:val="000000"/>
              </w:rPr>
            </w:pPr>
            <w:r>
              <w:rPr>
                <w:rFonts w:asciiTheme="majorHAnsi" w:eastAsia="Arial" w:hAnsiTheme="majorHAnsi" w:cstheme="majorHAnsi"/>
                <w:color w:val="000000"/>
              </w:rPr>
              <w:t xml:space="preserve">     </w:t>
            </w:r>
            <w:r w:rsidRPr="00553746">
              <w:rPr>
                <w:rFonts w:asciiTheme="majorHAnsi" w:eastAsia="Arial" w:hAnsiTheme="majorHAnsi" w:cstheme="majorHAnsi"/>
                <w:color w:val="000000"/>
              </w:rPr>
              <w:t xml:space="preserve">Applications </w:t>
            </w:r>
            <w:r w:rsidRPr="00553746">
              <w:rPr>
                <w:rFonts w:asciiTheme="majorHAnsi" w:eastAsia="Arial" w:hAnsiTheme="majorHAnsi" w:cstheme="majorHAnsi"/>
              </w:rPr>
              <w:t>r</w:t>
            </w:r>
            <w:r w:rsidRPr="00553746">
              <w:rPr>
                <w:rFonts w:asciiTheme="majorHAnsi" w:eastAsia="Arial" w:hAnsiTheme="majorHAnsi" w:cstheme="majorHAnsi"/>
                <w:color w:val="000000"/>
              </w:rPr>
              <w:t>ejected</w:t>
            </w:r>
          </w:p>
        </w:tc>
        <w:tc>
          <w:tcPr>
            <w:tcW w:w="1341" w:type="dxa"/>
          </w:tcPr>
          <w:p w14:paraId="4A40D244" w14:textId="41305F14" w:rsidR="001571FE" w:rsidRPr="00005033" w:rsidRDefault="00E724FD" w:rsidP="000978CC">
            <w:pPr>
              <w:ind w:firstLine="0"/>
              <w:jc w:val="right"/>
              <w:rPr>
                <w:rFonts w:asciiTheme="majorHAnsi" w:eastAsia="Cambria" w:hAnsiTheme="majorHAnsi" w:cstheme="majorHAnsi"/>
                <w:color w:val="000000"/>
              </w:rPr>
            </w:pPr>
            <w:r>
              <w:rPr>
                <w:rFonts w:asciiTheme="majorHAnsi" w:eastAsia="Cambria" w:hAnsiTheme="majorHAnsi" w:cstheme="majorHAnsi"/>
                <w:color w:val="000000"/>
              </w:rPr>
              <w:t>1</w:t>
            </w:r>
          </w:p>
        </w:tc>
        <w:tc>
          <w:tcPr>
            <w:tcW w:w="1341" w:type="dxa"/>
          </w:tcPr>
          <w:p w14:paraId="33CF4C73" w14:textId="1F96AF8E" w:rsidR="001571FE" w:rsidRPr="00005033" w:rsidRDefault="00E724FD" w:rsidP="000978CC">
            <w:pPr>
              <w:ind w:firstLine="0"/>
              <w:jc w:val="right"/>
              <w:rPr>
                <w:rFonts w:asciiTheme="majorHAnsi" w:eastAsia="Cambria" w:hAnsiTheme="majorHAnsi" w:cstheme="majorHAnsi"/>
                <w:color w:val="000000"/>
              </w:rPr>
            </w:pPr>
            <w:r>
              <w:rPr>
                <w:rFonts w:asciiTheme="majorHAnsi" w:eastAsia="Cambria" w:hAnsiTheme="majorHAnsi" w:cstheme="majorHAnsi"/>
                <w:color w:val="000000"/>
              </w:rPr>
              <w:t>2</w:t>
            </w:r>
          </w:p>
        </w:tc>
        <w:tc>
          <w:tcPr>
            <w:tcW w:w="1327" w:type="dxa"/>
          </w:tcPr>
          <w:p w14:paraId="32B4B823" w14:textId="2A4F2836"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0</w:t>
            </w:r>
          </w:p>
        </w:tc>
        <w:tc>
          <w:tcPr>
            <w:tcW w:w="1449" w:type="dxa"/>
          </w:tcPr>
          <w:p w14:paraId="5A08E0D1" w14:textId="77777777" w:rsidR="001571FE" w:rsidRPr="00005033" w:rsidRDefault="001571FE" w:rsidP="000978CC">
            <w:pPr>
              <w:ind w:left="0" w:firstLine="0"/>
              <w:jc w:val="right"/>
              <w:rPr>
                <w:rFonts w:asciiTheme="majorHAnsi" w:eastAsia="Arial" w:hAnsiTheme="majorHAnsi" w:cstheme="majorHAnsi"/>
              </w:rPr>
            </w:pPr>
            <w:r>
              <w:rPr>
                <w:rFonts w:asciiTheme="majorHAnsi" w:eastAsia="Arial" w:hAnsiTheme="majorHAnsi" w:cstheme="majorHAnsi"/>
              </w:rPr>
              <w:t>0</w:t>
            </w:r>
          </w:p>
        </w:tc>
      </w:tr>
      <w:tr w:rsidR="001571FE" w:rsidRPr="00005033" w14:paraId="29C29845" w14:textId="77777777" w:rsidTr="000978CC">
        <w:trPr>
          <w:trHeight w:val="372"/>
        </w:trPr>
        <w:tc>
          <w:tcPr>
            <w:tcW w:w="3534" w:type="dxa"/>
          </w:tcPr>
          <w:p w14:paraId="6AA16553" w14:textId="77777777" w:rsidR="001571FE" w:rsidRPr="00553746" w:rsidRDefault="001571FE" w:rsidP="000978CC">
            <w:pPr>
              <w:ind w:left="0" w:firstLine="0"/>
              <w:rPr>
                <w:rFonts w:asciiTheme="majorHAnsi" w:eastAsia="Arial" w:hAnsiTheme="majorHAnsi" w:cstheme="majorHAnsi"/>
                <w:color w:val="000000"/>
              </w:rPr>
            </w:pPr>
            <w:r w:rsidRPr="00553746">
              <w:rPr>
                <w:rFonts w:asciiTheme="majorHAnsi" w:eastAsia="Arial" w:hAnsiTheme="majorHAnsi" w:cstheme="majorHAnsi"/>
                <w:color w:val="000000"/>
              </w:rPr>
              <w:t xml:space="preserve">    </w:t>
            </w:r>
            <w:r>
              <w:rPr>
                <w:rFonts w:asciiTheme="majorHAnsi" w:eastAsia="Arial" w:hAnsiTheme="majorHAnsi" w:cstheme="majorHAnsi"/>
                <w:color w:val="000000"/>
              </w:rPr>
              <w:t xml:space="preserve"> </w:t>
            </w:r>
            <w:r w:rsidRPr="00553746">
              <w:rPr>
                <w:rFonts w:asciiTheme="majorHAnsi" w:eastAsia="Arial" w:hAnsiTheme="majorHAnsi" w:cstheme="majorHAnsi"/>
                <w:color w:val="000000"/>
              </w:rPr>
              <w:t>Average # days applications pending before rejection</w:t>
            </w:r>
          </w:p>
        </w:tc>
        <w:tc>
          <w:tcPr>
            <w:tcW w:w="1341" w:type="dxa"/>
          </w:tcPr>
          <w:p w14:paraId="4CB913CB" w14:textId="77777777" w:rsidR="001571FE" w:rsidRPr="00005033" w:rsidRDefault="001571FE" w:rsidP="000978CC">
            <w:pPr>
              <w:ind w:firstLine="0"/>
              <w:jc w:val="right"/>
              <w:rPr>
                <w:rFonts w:asciiTheme="majorHAnsi" w:eastAsia="Cambria" w:hAnsiTheme="majorHAnsi" w:cstheme="majorHAnsi"/>
                <w:color w:val="000000"/>
              </w:rPr>
            </w:pPr>
          </w:p>
          <w:p w14:paraId="73392923" w14:textId="6CF859F3"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62</w:t>
            </w:r>
          </w:p>
        </w:tc>
        <w:tc>
          <w:tcPr>
            <w:tcW w:w="1341" w:type="dxa"/>
          </w:tcPr>
          <w:p w14:paraId="72EC0E1C" w14:textId="77777777" w:rsidR="001571FE" w:rsidRPr="00005033" w:rsidRDefault="001571FE" w:rsidP="000978CC">
            <w:pPr>
              <w:ind w:firstLine="0"/>
              <w:jc w:val="right"/>
              <w:rPr>
                <w:rFonts w:asciiTheme="majorHAnsi" w:eastAsia="Cambria" w:hAnsiTheme="majorHAnsi" w:cstheme="majorHAnsi"/>
                <w:color w:val="000000"/>
              </w:rPr>
            </w:pPr>
          </w:p>
          <w:p w14:paraId="64E645AD" w14:textId="7D959A3F" w:rsidR="001571FE" w:rsidRPr="00005033" w:rsidRDefault="00E724FD" w:rsidP="000978CC">
            <w:pPr>
              <w:ind w:left="0" w:firstLine="0"/>
              <w:jc w:val="right"/>
              <w:rPr>
                <w:rFonts w:asciiTheme="majorHAnsi" w:eastAsia="Arial" w:hAnsiTheme="majorHAnsi" w:cstheme="majorHAnsi"/>
              </w:rPr>
            </w:pPr>
            <w:r>
              <w:rPr>
                <w:rFonts w:asciiTheme="majorHAnsi" w:eastAsia="Cambria" w:hAnsiTheme="majorHAnsi" w:cstheme="majorHAnsi"/>
                <w:color w:val="000000"/>
              </w:rPr>
              <w:t>927</w:t>
            </w:r>
          </w:p>
        </w:tc>
        <w:tc>
          <w:tcPr>
            <w:tcW w:w="1327" w:type="dxa"/>
          </w:tcPr>
          <w:p w14:paraId="710BE146" w14:textId="77777777" w:rsidR="001571FE" w:rsidRPr="00005033" w:rsidRDefault="001571FE" w:rsidP="000978CC">
            <w:pPr>
              <w:ind w:left="0" w:firstLine="0"/>
              <w:jc w:val="right"/>
              <w:rPr>
                <w:rFonts w:asciiTheme="majorHAnsi" w:eastAsia="Arial" w:hAnsiTheme="majorHAnsi" w:cstheme="majorHAnsi"/>
              </w:rPr>
            </w:pPr>
          </w:p>
          <w:p w14:paraId="6FCE3C0E" w14:textId="38673B92"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N/A</w:t>
            </w:r>
          </w:p>
        </w:tc>
        <w:tc>
          <w:tcPr>
            <w:tcW w:w="1449" w:type="dxa"/>
          </w:tcPr>
          <w:p w14:paraId="55E2C837" w14:textId="77777777" w:rsidR="001571FE" w:rsidRPr="00005033" w:rsidRDefault="001571FE" w:rsidP="000978CC">
            <w:pPr>
              <w:ind w:left="0" w:firstLine="0"/>
              <w:jc w:val="right"/>
              <w:rPr>
                <w:rFonts w:asciiTheme="majorHAnsi" w:eastAsia="Arial" w:hAnsiTheme="majorHAnsi" w:cstheme="majorHAnsi"/>
              </w:rPr>
            </w:pPr>
          </w:p>
          <w:p w14:paraId="7827CBCE" w14:textId="77777777" w:rsidR="001571FE" w:rsidRPr="00005033" w:rsidRDefault="001571FE" w:rsidP="000978CC">
            <w:pPr>
              <w:ind w:left="0" w:firstLine="0"/>
              <w:jc w:val="right"/>
              <w:rPr>
                <w:rFonts w:asciiTheme="majorHAnsi" w:eastAsia="Arial" w:hAnsiTheme="majorHAnsi" w:cstheme="majorHAnsi"/>
              </w:rPr>
            </w:pPr>
            <w:r>
              <w:rPr>
                <w:rFonts w:asciiTheme="majorHAnsi" w:eastAsia="Arial" w:hAnsiTheme="majorHAnsi" w:cstheme="majorHAnsi"/>
              </w:rPr>
              <w:t>N/A</w:t>
            </w:r>
          </w:p>
        </w:tc>
      </w:tr>
      <w:tr w:rsidR="001571FE" w:rsidRPr="00005033" w14:paraId="7EFD5123" w14:textId="77777777" w:rsidTr="000978CC">
        <w:trPr>
          <w:trHeight w:val="232"/>
        </w:trPr>
        <w:tc>
          <w:tcPr>
            <w:tcW w:w="3534" w:type="dxa"/>
          </w:tcPr>
          <w:p w14:paraId="2958616A" w14:textId="77777777" w:rsidR="001571FE" w:rsidRPr="00005033" w:rsidRDefault="001571FE" w:rsidP="000978CC">
            <w:pPr>
              <w:ind w:left="0" w:firstLine="0"/>
              <w:rPr>
                <w:rFonts w:asciiTheme="majorHAnsi" w:eastAsia="Arial" w:hAnsiTheme="majorHAnsi" w:cstheme="majorHAnsi"/>
                <w:color w:val="000000"/>
              </w:rPr>
            </w:pPr>
            <w:r w:rsidRPr="00005033">
              <w:rPr>
                <w:rFonts w:asciiTheme="majorHAnsi" w:eastAsia="Arial" w:hAnsiTheme="majorHAnsi" w:cstheme="majorHAnsi"/>
                <w:color w:val="000000"/>
              </w:rPr>
              <w:t xml:space="preserve">Applications authorized </w:t>
            </w:r>
          </w:p>
        </w:tc>
        <w:tc>
          <w:tcPr>
            <w:tcW w:w="1341" w:type="dxa"/>
          </w:tcPr>
          <w:p w14:paraId="3E9DEAE3" w14:textId="49F34DBD"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86</w:t>
            </w:r>
          </w:p>
        </w:tc>
        <w:tc>
          <w:tcPr>
            <w:tcW w:w="1341" w:type="dxa"/>
          </w:tcPr>
          <w:p w14:paraId="4B48D5F7" w14:textId="77777777" w:rsidR="001571FE" w:rsidRPr="00005033" w:rsidRDefault="001571FE" w:rsidP="000978CC">
            <w:pPr>
              <w:ind w:left="0" w:firstLine="0"/>
              <w:jc w:val="right"/>
              <w:rPr>
                <w:rFonts w:asciiTheme="majorHAnsi" w:eastAsia="Arial" w:hAnsiTheme="majorHAnsi" w:cstheme="majorHAnsi"/>
              </w:rPr>
            </w:pPr>
            <w:r w:rsidRPr="00005033">
              <w:rPr>
                <w:rFonts w:asciiTheme="majorHAnsi" w:eastAsia="Cambria" w:hAnsiTheme="majorHAnsi" w:cstheme="majorHAnsi"/>
                <w:color w:val="000000"/>
              </w:rPr>
              <w:t>8</w:t>
            </w:r>
            <w:r>
              <w:rPr>
                <w:rFonts w:asciiTheme="majorHAnsi" w:eastAsia="Cambria" w:hAnsiTheme="majorHAnsi" w:cstheme="majorHAnsi"/>
                <w:color w:val="000000"/>
              </w:rPr>
              <w:t>6</w:t>
            </w:r>
          </w:p>
        </w:tc>
        <w:tc>
          <w:tcPr>
            <w:tcW w:w="1327" w:type="dxa"/>
          </w:tcPr>
          <w:p w14:paraId="444533DB" w14:textId="7B4BCCD8"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74</w:t>
            </w:r>
          </w:p>
        </w:tc>
        <w:tc>
          <w:tcPr>
            <w:tcW w:w="1449" w:type="dxa"/>
          </w:tcPr>
          <w:p w14:paraId="2DE32B35" w14:textId="27140A98" w:rsidR="001571FE" w:rsidRPr="00005033" w:rsidRDefault="00DB3AFD" w:rsidP="000978CC">
            <w:pPr>
              <w:ind w:left="0" w:firstLine="0"/>
              <w:jc w:val="right"/>
              <w:rPr>
                <w:rFonts w:asciiTheme="majorHAnsi" w:eastAsia="Arial" w:hAnsiTheme="majorHAnsi" w:cstheme="majorHAnsi"/>
              </w:rPr>
            </w:pPr>
            <w:r>
              <w:rPr>
                <w:rFonts w:asciiTheme="majorHAnsi" w:eastAsia="Arial" w:hAnsiTheme="majorHAnsi" w:cstheme="majorHAnsi"/>
              </w:rPr>
              <w:t>58</w:t>
            </w:r>
          </w:p>
        </w:tc>
      </w:tr>
      <w:tr w:rsidR="001571FE" w:rsidRPr="00005033" w14:paraId="23E0C887" w14:textId="77777777" w:rsidTr="000978CC">
        <w:trPr>
          <w:trHeight w:val="232"/>
        </w:trPr>
        <w:tc>
          <w:tcPr>
            <w:tcW w:w="3534" w:type="dxa"/>
          </w:tcPr>
          <w:p w14:paraId="571EB774" w14:textId="77777777" w:rsidR="001571FE" w:rsidRPr="00005033" w:rsidRDefault="001571FE" w:rsidP="000978CC">
            <w:pPr>
              <w:ind w:left="0" w:firstLine="0"/>
              <w:rPr>
                <w:rFonts w:asciiTheme="majorHAnsi" w:eastAsia="Arial" w:hAnsiTheme="majorHAnsi" w:cstheme="majorHAnsi"/>
                <w:color w:val="000000"/>
              </w:rPr>
            </w:pPr>
            <w:r w:rsidRPr="00005033">
              <w:rPr>
                <w:rFonts w:asciiTheme="majorHAnsi" w:eastAsia="Arial" w:hAnsiTheme="majorHAnsi" w:cstheme="majorHAnsi"/>
                <w:color w:val="000000"/>
              </w:rPr>
              <w:t xml:space="preserve">Applications withdrawn </w:t>
            </w:r>
          </w:p>
        </w:tc>
        <w:tc>
          <w:tcPr>
            <w:tcW w:w="1341" w:type="dxa"/>
          </w:tcPr>
          <w:p w14:paraId="5070D433" w14:textId="3A85B9C4"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2</w:t>
            </w:r>
          </w:p>
        </w:tc>
        <w:tc>
          <w:tcPr>
            <w:tcW w:w="1341" w:type="dxa"/>
          </w:tcPr>
          <w:p w14:paraId="13899A6C" w14:textId="38C3AAEF" w:rsidR="001571FE" w:rsidRPr="00005033" w:rsidRDefault="00E724FD" w:rsidP="000978CC">
            <w:pPr>
              <w:ind w:left="0" w:firstLine="0"/>
              <w:jc w:val="right"/>
              <w:rPr>
                <w:rFonts w:asciiTheme="majorHAnsi" w:eastAsia="Arial" w:hAnsiTheme="majorHAnsi" w:cstheme="majorHAnsi"/>
              </w:rPr>
            </w:pPr>
            <w:r>
              <w:rPr>
                <w:rFonts w:asciiTheme="majorHAnsi" w:eastAsia="Cambria" w:hAnsiTheme="majorHAnsi" w:cstheme="majorHAnsi"/>
                <w:color w:val="000000"/>
              </w:rPr>
              <w:t>6</w:t>
            </w:r>
          </w:p>
        </w:tc>
        <w:tc>
          <w:tcPr>
            <w:tcW w:w="1327" w:type="dxa"/>
          </w:tcPr>
          <w:p w14:paraId="20F5D84F" w14:textId="2D9B36E8"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0</w:t>
            </w:r>
          </w:p>
        </w:tc>
        <w:tc>
          <w:tcPr>
            <w:tcW w:w="1449" w:type="dxa"/>
          </w:tcPr>
          <w:p w14:paraId="12781596" w14:textId="435E8689" w:rsidR="001571FE" w:rsidRPr="00005033" w:rsidRDefault="00E04CE0" w:rsidP="000978CC">
            <w:pPr>
              <w:ind w:left="0" w:firstLine="0"/>
              <w:jc w:val="right"/>
              <w:rPr>
                <w:rFonts w:asciiTheme="majorHAnsi" w:eastAsia="Arial" w:hAnsiTheme="majorHAnsi" w:cstheme="majorHAnsi"/>
              </w:rPr>
            </w:pPr>
            <w:r>
              <w:rPr>
                <w:rFonts w:asciiTheme="majorHAnsi" w:eastAsia="Arial" w:hAnsiTheme="majorHAnsi" w:cstheme="majorHAnsi"/>
              </w:rPr>
              <w:t>13</w:t>
            </w:r>
          </w:p>
        </w:tc>
      </w:tr>
      <w:tr w:rsidR="001571FE" w:rsidRPr="00005033" w14:paraId="318492FF" w14:textId="77777777" w:rsidTr="000978CC">
        <w:trPr>
          <w:trHeight w:val="179"/>
        </w:trPr>
        <w:tc>
          <w:tcPr>
            <w:tcW w:w="8992" w:type="dxa"/>
            <w:gridSpan w:val="5"/>
          </w:tcPr>
          <w:p w14:paraId="01799CE4" w14:textId="77777777" w:rsidR="001571FE" w:rsidRPr="003B6B1D" w:rsidRDefault="001571FE" w:rsidP="000978CC">
            <w:pPr>
              <w:ind w:left="0" w:firstLine="0"/>
              <w:rPr>
                <w:rFonts w:asciiTheme="majorHAnsi" w:eastAsia="Arial" w:hAnsiTheme="majorHAnsi" w:cstheme="majorHAnsi"/>
                <w:i/>
                <w:iCs/>
                <w:color w:val="4F81BD" w:themeColor="accent1"/>
              </w:rPr>
            </w:pPr>
            <w:r w:rsidRPr="003B6B1D">
              <w:rPr>
                <w:rFonts w:asciiTheme="majorHAnsi" w:eastAsia="Arial" w:hAnsiTheme="majorHAnsi" w:cstheme="majorHAnsi"/>
                <w:i/>
                <w:iCs/>
                <w:color w:val="4F81BD" w:themeColor="accent1"/>
              </w:rPr>
              <w:t>Pending</w:t>
            </w:r>
          </w:p>
        </w:tc>
      </w:tr>
      <w:tr w:rsidR="001571FE" w:rsidRPr="00005033" w14:paraId="18B98AD2" w14:textId="77777777" w:rsidTr="000978CC">
        <w:trPr>
          <w:trHeight w:val="179"/>
        </w:trPr>
        <w:tc>
          <w:tcPr>
            <w:tcW w:w="3534" w:type="dxa"/>
          </w:tcPr>
          <w:p w14:paraId="46081502" w14:textId="77777777" w:rsidR="001571FE" w:rsidRPr="00005033" w:rsidRDefault="001571FE" w:rsidP="000978CC">
            <w:pPr>
              <w:ind w:left="0" w:firstLine="0"/>
              <w:rPr>
                <w:rFonts w:asciiTheme="majorHAnsi" w:eastAsia="Arial" w:hAnsiTheme="majorHAnsi" w:cstheme="majorHAnsi"/>
                <w:color w:val="000000"/>
              </w:rPr>
            </w:pPr>
            <w:r>
              <w:rPr>
                <w:rFonts w:asciiTheme="majorHAnsi" w:eastAsia="Arial" w:hAnsiTheme="majorHAnsi" w:cstheme="majorHAnsi"/>
                <w:color w:val="000000"/>
              </w:rPr>
              <w:t xml:space="preserve">     </w:t>
            </w:r>
            <w:r w:rsidRPr="00005033">
              <w:rPr>
                <w:rFonts w:asciiTheme="majorHAnsi" w:eastAsia="Arial" w:hAnsiTheme="majorHAnsi" w:cstheme="majorHAnsi"/>
                <w:color w:val="000000"/>
              </w:rPr>
              <w:t>Applications pending at the end of the reporting period</w:t>
            </w:r>
          </w:p>
        </w:tc>
        <w:tc>
          <w:tcPr>
            <w:tcW w:w="1341" w:type="dxa"/>
          </w:tcPr>
          <w:p w14:paraId="3F1AC0EF" w14:textId="77777777" w:rsidR="001571FE" w:rsidRPr="00005033" w:rsidRDefault="001571FE" w:rsidP="000978CC">
            <w:pPr>
              <w:ind w:firstLine="0"/>
              <w:jc w:val="right"/>
              <w:rPr>
                <w:rFonts w:asciiTheme="majorHAnsi" w:eastAsia="Cambria" w:hAnsiTheme="majorHAnsi" w:cstheme="majorHAnsi"/>
                <w:color w:val="000000"/>
              </w:rPr>
            </w:pPr>
          </w:p>
          <w:p w14:paraId="006872D6" w14:textId="6ED0ABCC" w:rsidR="001571FE" w:rsidRPr="00005033" w:rsidRDefault="001571FE" w:rsidP="000978CC">
            <w:pPr>
              <w:ind w:left="0" w:firstLine="0"/>
              <w:jc w:val="right"/>
              <w:rPr>
                <w:rFonts w:asciiTheme="majorHAnsi" w:eastAsia="Arial" w:hAnsiTheme="majorHAnsi" w:cstheme="majorHAnsi"/>
              </w:rPr>
            </w:pPr>
            <w:r>
              <w:rPr>
                <w:rFonts w:asciiTheme="majorHAnsi" w:eastAsia="Arial" w:hAnsiTheme="majorHAnsi" w:cstheme="majorHAnsi"/>
              </w:rPr>
              <w:t>20</w:t>
            </w:r>
            <w:r w:rsidR="00E724FD">
              <w:rPr>
                <w:rFonts w:asciiTheme="majorHAnsi" w:eastAsia="Arial" w:hAnsiTheme="majorHAnsi" w:cstheme="majorHAnsi"/>
              </w:rPr>
              <w:t>6</w:t>
            </w:r>
          </w:p>
        </w:tc>
        <w:tc>
          <w:tcPr>
            <w:tcW w:w="1341" w:type="dxa"/>
          </w:tcPr>
          <w:p w14:paraId="420A1F55" w14:textId="77777777" w:rsidR="001571FE" w:rsidRPr="00005033" w:rsidRDefault="001571FE" w:rsidP="000978CC">
            <w:pPr>
              <w:ind w:firstLine="0"/>
              <w:jc w:val="right"/>
              <w:rPr>
                <w:rFonts w:asciiTheme="majorHAnsi" w:eastAsia="Cambria" w:hAnsiTheme="majorHAnsi" w:cstheme="majorHAnsi"/>
                <w:color w:val="000000"/>
              </w:rPr>
            </w:pPr>
          </w:p>
          <w:p w14:paraId="1960E470" w14:textId="311194A9" w:rsidR="001571FE" w:rsidRPr="00005033" w:rsidRDefault="00E724FD" w:rsidP="000978CC">
            <w:pPr>
              <w:ind w:left="0" w:firstLine="0"/>
              <w:jc w:val="right"/>
              <w:rPr>
                <w:rFonts w:asciiTheme="majorHAnsi" w:eastAsia="Arial" w:hAnsiTheme="majorHAnsi" w:cstheme="majorHAnsi"/>
              </w:rPr>
            </w:pPr>
            <w:r>
              <w:rPr>
                <w:rFonts w:asciiTheme="majorHAnsi" w:eastAsia="Cambria" w:hAnsiTheme="majorHAnsi" w:cstheme="majorHAnsi"/>
                <w:color w:val="000000"/>
              </w:rPr>
              <w:t>244</w:t>
            </w:r>
          </w:p>
        </w:tc>
        <w:tc>
          <w:tcPr>
            <w:tcW w:w="1327" w:type="dxa"/>
          </w:tcPr>
          <w:p w14:paraId="35285569" w14:textId="77777777" w:rsidR="001571FE" w:rsidRPr="00005033" w:rsidRDefault="001571FE" w:rsidP="000978CC">
            <w:pPr>
              <w:ind w:left="0" w:firstLine="0"/>
              <w:jc w:val="right"/>
              <w:rPr>
                <w:rFonts w:asciiTheme="majorHAnsi" w:eastAsia="Arial" w:hAnsiTheme="majorHAnsi" w:cstheme="majorHAnsi"/>
              </w:rPr>
            </w:pPr>
          </w:p>
          <w:p w14:paraId="676163E0" w14:textId="20BFDF35" w:rsidR="001571FE" w:rsidRPr="00005033" w:rsidRDefault="00E724FD" w:rsidP="000978CC">
            <w:pPr>
              <w:ind w:left="0" w:firstLine="0"/>
              <w:jc w:val="right"/>
              <w:rPr>
                <w:rFonts w:asciiTheme="majorHAnsi" w:eastAsia="Arial" w:hAnsiTheme="majorHAnsi" w:cstheme="majorHAnsi"/>
              </w:rPr>
            </w:pPr>
            <w:r>
              <w:rPr>
                <w:rFonts w:asciiTheme="majorHAnsi" w:eastAsia="Arial" w:hAnsiTheme="majorHAnsi" w:cstheme="majorHAnsi"/>
              </w:rPr>
              <w:t>341</w:t>
            </w:r>
          </w:p>
        </w:tc>
        <w:tc>
          <w:tcPr>
            <w:tcW w:w="1449" w:type="dxa"/>
          </w:tcPr>
          <w:p w14:paraId="1E417433" w14:textId="77777777" w:rsidR="001571FE" w:rsidRPr="00005033" w:rsidRDefault="001571FE" w:rsidP="000978CC">
            <w:pPr>
              <w:ind w:left="0" w:firstLine="0"/>
              <w:jc w:val="right"/>
              <w:rPr>
                <w:rFonts w:asciiTheme="majorHAnsi" w:eastAsia="Arial" w:hAnsiTheme="majorHAnsi" w:cstheme="majorHAnsi"/>
              </w:rPr>
            </w:pPr>
          </w:p>
          <w:p w14:paraId="50138A9D" w14:textId="5F7F332C" w:rsidR="001571FE" w:rsidRPr="00005033" w:rsidRDefault="00A67714" w:rsidP="000978CC">
            <w:pPr>
              <w:ind w:left="0" w:firstLine="0"/>
              <w:jc w:val="right"/>
              <w:rPr>
                <w:rFonts w:asciiTheme="majorHAnsi" w:eastAsia="Arial" w:hAnsiTheme="majorHAnsi" w:cstheme="majorHAnsi"/>
              </w:rPr>
            </w:pPr>
            <w:r>
              <w:rPr>
                <w:rFonts w:asciiTheme="majorHAnsi" w:eastAsia="Arial" w:hAnsiTheme="majorHAnsi" w:cstheme="majorHAnsi"/>
              </w:rPr>
              <w:t>397</w:t>
            </w:r>
          </w:p>
        </w:tc>
      </w:tr>
      <w:tr w:rsidR="001571FE" w:rsidRPr="00005033" w14:paraId="45414070" w14:textId="77777777" w:rsidTr="000978CC">
        <w:trPr>
          <w:trHeight w:val="179"/>
        </w:trPr>
        <w:tc>
          <w:tcPr>
            <w:tcW w:w="3534" w:type="dxa"/>
          </w:tcPr>
          <w:p w14:paraId="210F4F57" w14:textId="77777777" w:rsidR="001571FE" w:rsidRDefault="001571FE" w:rsidP="000978CC">
            <w:pPr>
              <w:ind w:left="0" w:firstLine="0"/>
              <w:rPr>
                <w:rFonts w:asciiTheme="majorHAnsi" w:eastAsia="Arial" w:hAnsiTheme="majorHAnsi" w:cstheme="majorHAnsi"/>
                <w:color w:val="000000"/>
              </w:rPr>
            </w:pPr>
            <w:r>
              <w:rPr>
                <w:rFonts w:asciiTheme="majorHAnsi" w:eastAsia="Arial" w:hAnsiTheme="majorHAnsi" w:cstheme="majorHAnsi"/>
                <w:color w:val="000000"/>
              </w:rPr>
              <w:t xml:space="preserve">     </w:t>
            </w:r>
            <w:r w:rsidRPr="00005033">
              <w:rPr>
                <w:rFonts w:asciiTheme="majorHAnsi" w:eastAsia="Arial" w:hAnsiTheme="majorHAnsi" w:cstheme="majorHAnsi"/>
                <w:color w:val="000000"/>
              </w:rPr>
              <w:t>Average number of days pending</w:t>
            </w:r>
          </w:p>
        </w:tc>
        <w:tc>
          <w:tcPr>
            <w:tcW w:w="1341" w:type="dxa"/>
          </w:tcPr>
          <w:p w14:paraId="63638728" w14:textId="77777777" w:rsidR="001571FE" w:rsidRPr="00005033" w:rsidRDefault="001571FE" w:rsidP="000978CC">
            <w:pPr>
              <w:ind w:firstLine="0"/>
              <w:jc w:val="center"/>
              <w:rPr>
                <w:rFonts w:asciiTheme="majorHAnsi" w:eastAsia="Cambria" w:hAnsiTheme="majorHAnsi" w:cstheme="majorHAnsi"/>
                <w:color w:val="000000"/>
              </w:rPr>
            </w:pPr>
            <w:r w:rsidRPr="00005033">
              <w:rPr>
                <w:rFonts w:asciiTheme="majorHAnsi" w:eastAsia="Cambria" w:hAnsiTheme="majorHAnsi" w:cstheme="majorHAnsi"/>
                <w:color w:val="000000"/>
              </w:rPr>
              <w:t>—</w:t>
            </w:r>
          </w:p>
        </w:tc>
        <w:tc>
          <w:tcPr>
            <w:tcW w:w="1341" w:type="dxa"/>
          </w:tcPr>
          <w:p w14:paraId="7C44FF77" w14:textId="13870589" w:rsidR="001571FE" w:rsidRPr="00005033" w:rsidRDefault="00E724FD" w:rsidP="00E724FD">
            <w:pPr>
              <w:ind w:left="0" w:firstLine="0"/>
              <w:jc w:val="right"/>
              <w:rPr>
                <w:rFonts w:asciiTheme="majorHAnsi" w:eastAsia="Cambria" w:hAnsiTheme="majorHAnsi" w:cstheme="majorHAnsi"/>
                <w:color w:val="000000"/>
              </w:rPr>
            </w:pPr>
            <w:r>
              <w:rPr>
                <w:rFonts w:asciiTheme="majorHAnsi" w:eastAsia="Cambria" w:hAnsiTheme="majorHAnsi" w:cstheme="majorHAnsi"/>
                <w:color w:val="000000"/>
              </w:rPr>
              <w:t>250</w:t>
            </w:r>
          </w:p>
        </w:tc>
        <w:tc>
          <w:tcPr>
            <w:tcW w:w="1327" w:type="dxa"/>
          </w:tcPr>
          <w:p w14:paraId="7E0974AF" w14:textId="169934DC" w:rsidR="001571FE" w:rsidRPr="00005033" w:rsidRDefault="00E724FD" w:rsidP="000978CC">
            <w:pPr>
              <w:ind w:left="0" w:firstLine="0"/>
              <w:jc w:val="right"/>
              <w:rPr>
                <w:rFonts w:asciiTheme="majorHAnsi" w:eastAsia="Cambria" w:hAnsiTheme="majorHAnsi" w:cstheme="majorHAnsi"/>
                <w:color w:val="000000"/>
              </w:rPr>
            </w:pPr>
            <w:r>
              <w:rPr>
                <w:rFonts w:asciiTheme="majorHAnsi" w:eastAsia="Cambria" w:hAnsiTheme="majorHAnsi" w:cstheme="majorHAnsi"/>
                <w:color w:val="000000"/>
              </w:rPr>
              <w:t>320</w:t>
            </w:r>
          </w:p>
        </w:tc>
        <w:tc>
          <w:tcPr>
            <w:tcW w:w="1449" w:type="dxa"/>
          </w:tcPr>
          <w:p w14:paraId="4BCE5289" w14:textId="62BE8700" w:rsidR="001571FE" w:rsidRPr="00005033" w:rsidRDefault="00854ADC" w:rsidP="000978CC">
            <w:pPr>
              <w:ind w:left="0" w:firstLine="0"/>
              <w:jc w:val="right"/>
              <w:rPr>
                <w:rFonts w:asciiTheme="majorHAnsi" w:eastAsia="Arial" w:hAnsiTheme="majorHAnsi" w:cstheme="majorHAnsi"/>
              </w:rPr>
            </w:pPr>
            <w:r>
              <w:rPr>
                <w:rFonts w:asciiTheme="majorHAnsi" w:eastAsia="Arial" w:hAnsiTheme="majorHAnsi" w:cstheme="majorHAnsi"/>
              </w:rPr>
              <w:t>3</w:t>
            </w:r>
            <w:r w:rsidR="00404627">
              <w:rPr>
                <w:rFonts w:asciiTheme="majorHAnsi" w:eastAsia="Arial" w:hAnsiTheme="majorHAnsi" w:cstheme="majorHAnsi"/>
              </w:rPr>
              <w:t>2</w:t>
            </w:r>
            <w:r>
              <w:rPr>
                <w:rFonts w:asciiTheme="majorHAnsi" w:eastAsia="Arial" w:hAnsiTheme="majorHAnsi" w:cstheme="majorHAnsi"/>
              </w:rPr>
              <w:t>1</w:t>
            </w:r>
          </w:p>
        </w:tc>
      </w:tr>
    </w:tbl>
    <w:p w14:paraId="7351ED63" w14:textId="77777777" w:rsidR="001571FE" w:rsidRPr="00CE2CFC" w:rsidRDefault="001571FE" w:rsidP="001571FE">
      <w:pPr>
        <w:spacing w:after="0" w:line="240" w:lineRule="auto"/>
        <w:ind w:left="0" w:firstLine="0"/>
        <w:rPr>
          <w:rFonts w:asciiTheme="majorHAnsi" w:eastAsia="Times New Roman" w:hAnsiTheme="majorHAnsi" w:cstheme="majorHAnsi"/>
          <w:sz w:val="18"/>
          <w:szCs w:val="18"/>
        </w:rPr>
      </w:pPr>
      <w:r w:rsidRPr="00CE2CFC">
        <w:rPr>
          <w:rFonts w:asciiTheme="majorHAnsi" w:eastAsia="Times New Roman" w:hAnsiTheme="majorHAnsi" w:cstheme="majorHAnsi"/>
          <w:b/>
          <w:sz w:val="18"/>
          <w:szCs w:val="18"/>
        </w:rPr>
        <w:t xml:space="preserve">Note:  </w:t>
      </w:r>
      <w:r w:rsidRPr="00CE2CFC">
        <w:rPr>
          <w:rFonts w:asciiTheme="majorHAnsi" w:eastAsia="Times New Roman" w:hAnsiTheme="majorHAnsi" w:cstheme="majorHAnsi"/>
          <w:sz w:val="18"/>
          <w:szCs w:val="18"/>
        </w:rPr>
        <w:t xml:space="preserve">The “N/A” denotes that the average number of days applications are pending before rejection cannot be calculated when agencies do not reject any applications during the reporting period. </w:t>
      </w:r>
    </w:p>
    <w:p w14:paraId="290CF3F7" w14:textId="77777777" w:rsidR="001571FE" w:rsidRPr="00CE2CFC" w:rsidRDefault="001571FE" w:rsidP="001571FE">
      <w:pPr>
        <w:spacing w:after="0" w:line="240" w:lineRule="auto"/>
        <w:ind w:left="0" w:firstLine="0"/>
        <w:rPr>
          <w:rFonts w:asciiTheme="minorHAnsi" w:eastAsia="Times New Roman" w:hAnsiTheme="minorHAnsi" w:cs="Times New Roman"/>
          <w:sz w:val="18"/>
          <w:szCs w:val="18"/>
        </w:rPr>
      </w:pPr>
      <w:r w:rsidRPr="00CE2CFC">
        <w:rPr>
          <w:rFonts w:asciiTheme="majorHAnsi" w:eastAsia="Cambria" w:hAnsiTheme="majorHAnsi" w:cstheme="majorHAnsi"/>
          <w:color w:val="000000"/>
          <w:sz w:val="18"/>
          <w:szCs w:val="18"/>
        </w:rPr>
        <w:t>—</w:t>
      </w:r>
      <w:r w:rsidRPr="00CE2CFC">
        <w:rPr>
          <w:rFonts w:asciiTheme="minorHAnsi" w:eastAsia="Times New Roman" w:hAnsiTheme="minorHAnsi" w:cs="Times New Roman"/>
          <w:sz w:val="18"/>
          <w:szCs w:val="18"/>
        </w:rPr>
        <w:t xml:space="preserve"> Data </w:t>
      </w:r>
      <w:r>
        <w:rPr>
          <w:rFonts w:asciiTheme="minorHAnsi" w:eastAsia="Times New Roman" w:hAnsiTheme="minorHAnsi" w:cs="Times New Roman"/>
          <w:sz w:val="18"/>
          <w:szCs w:val="18"/>
        </w:rPr>
        <w:t>un</w:t>
      </w:r>
      <w:r w:rsidRPr="00CE2CFC">
        <w:rPr>
          <w:rFonts w:asciiTheme="minorHAnsi" w:eastAsia="Times New Roman" w:hAnsiTheme="minorHAnsi" w:cs="Times New Roman"/>
          <w:sz w:val="18"/>
          <w:szCs w:val="18"/>
        </w:rPr>
        <w:t xml:space="preserve">available </w:t>
      </w:r>
      <w:r>
        <w:rPr>
          <w:rFonts w:asciiTheme="minorHAnsi" w:eastAsia="Times New Roman" w:hAnsiTheme="minorHAnsi" w:cs="Times New Roman"/>
          <w:sz w:val="18"/>
          <w:szCs w:val="18"/>
        </w:rPr>
        <w:t>prior to</w:t>
      </w:r>
      <w:r w:rsidRPr="00CE2CFC">
        <w:rPr>
          <w:rFonts w:asciiTheme="minorHAnsi" w:eastAsia="Times New Roman" w:hAnsiTheme="minorHAnsi" w:cs="Times New Roman"/>
          <w:sz w:val="18"/>
          <w:szCs w:val="18"/>
        </w:rPr>
        <w:t xml:space="preserve"> Q3 FY 22</w:t>
      </w:r>
    </w:p>
    <w:p w14:paraId="5DF9850A" w14:textId="77777777" w:rsidR="0073356E" w:rsidRDefault="0073356E">
      <w:pPr>
        <w:spacing w:after="0" w:line="240" w:lineRule="auto"/>
        <w:ind w:left="0" w:firstLine="0"/>
        <w:rPr>
          <w:rFonts w:asciiTheme="minorHAnsi" w:eastAsia="Times New Roman" w:hAnsiTheme="minorHAnsi" w:cs="Times New Roman"/>
          <w:sz w:val="20"/>
          <w:szCs w:val="20"/>
        </w:rPr>
      </w:pPr>
    </w:p>
    <w:p w14:paraId="4721E131" w14:textId="43DE0B96" w:rsidR="00F32D0E" w:rsidRDefault="00F32D0E">
      <w:pPr>
        <w:spacing w:after="0" w:line="240" w:lineRule="auto"/>
        <w:ind w:left="0" w:firstLine="0"/>
        <w:rPr>
          <w:rFonts w:asciiTheme="minorHAnsi" w:eastAsia="Times New Roman" w:hAnsiTheme="minorHAnsi" w:cs="Times New Roman"/>
          <w:sz w:val="20"/>
          <w:szCs w:val="20"/>
        </w:rPr>
      </w:pPr>
    </w:p>
    <w:p w14:paraId="386F64B7" w14:textId="7266D11F" w:rsidR="00C22E38" w:rsidRDefault="00C22E38">
      <w:pPr>
        <w:spacing w:after="0" w:line="240" w:lineRule="auto"/>
        <w:ind w:left="0" w:firstLine="0"/>
        <w:rPr>
          <w:rFonts w:asciiTheme="minorHAnsi" w:eastAsia="Times New Roman" w:hAnsiTheme="minorHAnsi" w:cs="Times New Roman"/>
          <w:sz w:val="20"/>
          <w:szCs w:val="20"/>
        </w:rPr>
      </w:pPr>
    </w:p>
    <w:p w14:paraId="6D718F3D" w14:textId="77777777" w:rsidR="00C22E38" w:rsidRDefault="00C22E38">
      <w:pPr>
        <w:spacing w:after="0" w:line="240" w:lineRule="auto"/>
        <w:ind w:left="0" w:firstLine="0"/>
        <w:rPr>
          <w:rFonts w:asciiTheme="minorHAnsi" w:eastAsia="Times New Roman" w:hAnsiTheme="minorHAnsi" w:cs="Times New Roman"/>
          <w:sz w:val="20"/>
          <w:szCs w:val="20"/>
        </w:rPr>
      </w:pPr>
    </w:p>
    <w:p w14:paraId="1C9DD549" w14:textId="66C4E121" w:rsidR="00F32D0E" w:rsidRDefault="00F32D0E">
      <w:pPr>
        <w:spacing w:after="0" w:line="240" w:lineRule="auto"/>
        <w:ind w:left="0" w:firstLine="0"/>
        <w:rPr>
          <w:rFonts w:asciiTheme="minorHAnsi" w:eastAsia="Times New Roman" w:hAnsiTheme="minorHAnsi" w:cs="Times New Roman"/>
          <w:sz w:val="20"/>
          <w:szCs w:val="20"/>
        </w:rPr>
      </w:pPr>
      <w:r>
        <w:rPr>
          <w:rFonts w:ascii="Times New Roman" w:eastAsia="Times New Roman" w:hAnsi="Times New Roman" w:cs="Times New Roman"/>
          <w:noProof/>
          <w:sz w:val="24"/>
          <w:szCs w:val="24"/>
        </w:rPr>
        <w:drawing>
          <wp:inline distT="0" distB="0" distL="0" distR="0" wp14:anchorId="29FD8EC0" wp14:editId="3F143A6D">
            <wp:extent cx="5518205" cy="2973788"/>
            <wp:effectExtent l="0" t="0" r="6350" b="17145"/>
            <wp:docPr id="4" name="Chart 4" descr="This is a line graph of the number of applications received per quarter. There is a slight decrease in Quarter 3, a large increase in Quarter 4 of FY 2022, and a decrease back to Q3 levels in the first quarter of 2023. Refer to Table 1 for raw data. "/>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052AFD" w14:textId="685A46AC" w:rsidR="00FE3CA0" w:rsidRDefault="007213CB">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5D795F0" w14:textId="33BA5FF6" w:rsidR="0073205E" w:rsidRDefault="007320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0F9AFE" wp14:editId="0303C6CE">
            <wp:extent cx="5486400" cy="3721100"/>
            <wp:effectExtent l="0" t="0" r="0" b="12700"/>
            <wp:docPr id="2" name="Chart 2" descr="Figure 2 is showing the number of applications approved from Quarter 2 of Fiscal Year 2022 through Quarter 1 of Fiscal Year 2023.&#10;&#10;It also shows the average number of days applications were pending each quarter.  &#10;&#10;Applications approved took a slight dip in Q3 of Fiscal Year 2022, increased in Q4 of Fiscal Year 2022, and dipped again in in the first quarter of 2023. &#10;&#10;Please refer to raw data in Table 1.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C56C84" w14:textId="77777777" w:rsidR="00C22E38" w:rsidRDefault="00C22E38" w:rsidP="00D37B32">
      <w:pPr>
        <w:ind w:left="0" w:firstLine="0"/>
        <w:jc w:val="both"/>
        <w:rPr>
          <w:rFonts w:ascii="Calibri Light" w:eastAsia="Times New Roman" w:hAnsi="Calibri Light" w:cs="Calibri Light"/>
          <w:sz w:val="24"/>
          <w:szCs w:val="24"/>
        </w:rPr>
      </w:pPr>
    </w:p>
    <w:p w14:paraId="755B1A43" w14:textId="77777777" w:rsidR="003C3CFF" w:rsidRDefault="003C3CFF" w:rsidP="003C3CFF">
      <w:pPr>
        <w:pStyle w:val="NormalWeb"/>
        <w:spacing w:before="0" w:beforeAutospacing="0" w:after="160" w:afterAutospacing="0"/>
        <w:jc w:val="both"/>
      </w:pPr>
      <w:r>
        <w:rPr>
          <w:rFonts w:ascii="Calibri" w:hAnsi="Calibri" w:cs="Calibri"/>
          <w:color w:val="000000"/>
        </w:rPr>
        <w:t xml:space="preserve">The number of applications approved, </w:t>
      </w:r>
      <w:proofErr w:type="gramStart"/>
      <w:r>
        <w:rPr>
          <w:rFonts w:ascii="Calibri" w:hAnsi="Calibri" w:cs="Calibri"/>
          <w:color w:val="000000"/>
        </w:rPr>
        <w:t>pending</w:t>
      </w:r>
      <w:proofErr w:type="gramEnd"/>
      <w:r>
        <w:rPr>
          <w:rFonts w:ascii="Calibri" w:hAnsi="Calibri" w:cs="Calibri"/>
          <w:color w:val="000000"/>
        </w:rPr>
        <w:t xml:space="preserve"> or rejected during Q1 of FY 2023 is not directly tied to the total number of applications received by the agencies during this reporting period.  This is attributable to a continuous backlog in processing pending applications.  OMB, GSA and the SFP continue to encourage agencies to be more proactive in the processing of applications.  Changes in the data resulting from the targeted outreach to agencies, as well as other factors, are outlined below.</w:t>
      </w:r>
    </w:p>
    <w:p w14:paraId="430B6B16" w14:textId="77777777" w:rsidR="003C3CFF" w:rsidRDefault="003C3CFF" w:rsidP="003C3CFF">
      <w:pPr>
        <w:pStyle w:val="NormalWeb"/>
        <w:numPr>
          <w:ilvl w:val="0"/>
          <w:numId w:val="12"/>
        </w:numPr>
        <w:spacing w:before="0" w:beforeAutospacing="0" w:after="160" w:afterAutospacing="0"/>
        <w:jc w:val="both"/>
        <w:textAlignment w:val="baseline"/>
        <w:rPr>
          <w:rFonts w:ascii="Calibri" w:hAnsi="Calibri" w:cs="Calibri"/>
          <w:color w:val="000000"/>
        </w:rPr>
      </w:pPr>
      <w:r>
        <w:rPr>
          <w:rFonts w:ascii="Calibri" w:hAnsi="Calibri" w:cs="Calibri"/>
          <w:color w:val="000000"/>
        </w:rPr>
        <w:t>The number of applications received by Federal property managing agencies decreased from 262 in the fourth quarter (Q4) of FY 2022 to 149 in Q1 of FY 2023 (see Figure 1 and Table 1, above).  Some agencies noted that wireless providers are opting to install 5G technology at new broadband sites while replacing previously installed 4G wireless installations with 5G wireless towers that are relatively more expensive.  This has likely resulted in a drop in the demand for broadband siting permits during the reporting period.</w:t>
      </w:r>
    </w:p>
    <w:p w14:paraId="2817F074" w14:textId="77777777" w:rsidR="003C3CFF" w:rsidRDefault="003C3CFF" w:rsidP="003C3CFF">
      <w:pPr>
        <w:pStyle w:val="NormalWeb"/>
        <w:numPr>
          <w:ilvl w:val="0"/>
          <w:numId w:val="12"/>
        </w:numPr>
        <w:spacing w:before="0" w:beforeAutospacing="0" w:after="160" w:afterAutospacing="0"/>
        <w:jc w:val="both"/>
        <w:textAlignment w:val="baseline"/>
        <w:rPr>
          <w:rFonts w:ascii="Calibri" w:hAnsi="Calibri" w:cs="Calibri"/>
          <w:color w:val="000000"/>
        </w:rPr>
      </w:pPr>
      <w:r>
        <w:rPr>
          <w:rFonts w:ascii="Calibri" w:hAnsi="Calibri" w:cs="Calibri"/>
          <w:color w:val="000000"/>
        </w:rPr>
        <w:t xml:space="preserve">The number of applications approved decreased from 165 in Q4 of FY 2022 to 80 in Q1 of FY 2023, and the number of applications authorized also decreased from 74 in Q4 of FY 2022 to 58 in Q1 of FY 2023 (see Table 1 and Figure 2, above).  Some agencies attributed both decreases to the inclement weather that was prevalent in many parts of the Pacific Northwest during Q1 of FY 2023.  The inclement weather prevented the resource and construction surveys, which are essential for all broadband site approvals and </w:t>
      </w:r>
      <w:r>
        <w:rPr>
          <w:rFonts w:ascii="Calibri" w:hAnsi="Calibri" w:cs="Calibri"/>
          <w:color w:val="000000"/>
        </w:rPr>
        <w:lastRenderedPageBreak/>
        <w:t>authorizations, from being conducted until early spring when the snow melts or the soil softens or thaws.  Thus, submitted applications could not be approved or authorized as quickly as they would have been had they been submitted at other times of the year.  Of the 80 applications approved, 64 were approved within the 270-day statutory time frame, while 16 of the applications required more than 270 days to be approved. </w:t>
      </w:r>
    </w:p>
    <w:p w14:paraId="3970543A" w14:textId="77777777" w:rsidR="003C3CFF" w:rsidRDefault="003C3CFF" w:rsidP="003C3CFF">
      <w:pPr>
        <w:pStyle w:val="NormalWeb"/>
        <w:numPr>
          <w:ilvl w:val="0"/>
          <w:numId w:val="12"/>
        </w:numPr>
        <w:spacing w:before="0" w:beforeAutospacing="0" w:after="160" w:afterAutospacing="0"/>
        <w:jc w:val="both"/>
        <w:textAlignment w:val="baseline"/>
        <w:rPr>
          <w:rFonts w:ascii="Calibri" w:hAnsi="Calibri" w:cs="Calibri"/>
          <w:color w:val="000000"/>
        </w:rPr>
      </w:pPr>
      <w:r>
        <w:rPr>
          <w:rFonts w:ascii="Calibri" w:hAnsi="Calibri" w:cs="Calibri"/>
          <w:color w:val="000000"/>
        </w:rPr>
        <w:t>The average number of days applications were pending prior to approval decreased from 233 days in Q4 of FY 2022 to 202 days in Q1 of FY 2023 (see Table 1 and Figure 2, above). Agencies noted that field office staff regularly receive training on how to work with applicants to ensure that siting permits are filled out correctly during the initial submission and this has resulted in applicants seeing shorter waiting periods between the application received date and the date of approval. </w:t>
      </w:r>
    </w:p>
    <w:p w14:paraId="255C16DB" w14:textId="61AAF3D6" w:rsidR="003C3CFF" w:rsidRDefault="003C3CFF" w:rsidP="003C3CFF">
      <w:pPr>
        <w:pStyle w:val="NormalWeb"/>
        <w:numPr>
          <w:ilvl w:val="0"/>
          <w:numId w:val="12"/>
        </w:numPr>
        <w:spacing w:before="240" w:beforeAutospacing="0" w:after="240" w:afterAutospacing="0"/>
        <w:jc w:val="both"/>
        <w:textAlignment w:val="baseline"/>
        <w:rPr>
          <w:rFonts w:ascii="Calibri" w:hAnsi="Calibri" w:cs="Calibri"/>
          <w:color w:val="000000"/>
        </w:rPr>
      </w:pPr>
      <w:r>
        <w:rPr>
          <w:rFonts w:ascii="Calibri" w:hAnsi="Calibri" w:cs="Calibri"/>
          <w:color w:val="000000"/>
        </w:rPr>
        <w:t xml:space="preserve">There were 13 applications withdrawn in Q1 of FY 2023.  </w:t>
      </w:r>
      <w:r w:rsidR="001840E7">
        <w:rPr>
          <w:rFonts w:ascii="Calibri" w:hAnsi="Calibri" w:cs="Calibri"/>
          <w:color w:val="000000"/>
        </w:rPr>
        <w:t>All</w:t>
      </w:r>
      <w:r>
        <w:rPr>
          <w:rFonts w:ascii="Calibri" w:hAnsi="Calibri" w:cs="Calibri"/>
          <w:color w:val="000000"/>
        </w:rPr>
        <w:t xml:space="preserve"> these withdrawals came from one agency that was working with a single applicant.  The applicant originally requested a grouping of 13 installations that would be built concurrently but decided not to proceed with the projects at this time due to cost constraints.  There were no rejected applications during this reporting period. </w:t>
      </w:r>
    </w:p>
    <w:p w14:paraId="05D3D091" w14:textId="245F4F5E" w:rsidR="00E76BF0" w:rsidRDefault="003C3CFF" w:rsidP="003C3CFF">
      <w:pPr>
        <w:pStyle w:val="NormalWeb"/>
        <w:numPr>
          <w:ilvl w:val="0"/>
          <w:numId w:val="12"/>
        </w:numPr>
        <w:shd w:val="clear" w:color="auto" w:fill="FFFFFF"/>
        <w:spacing w:before="0" w:beforeAutospacing="0" w:after="0" w:afterAutospacing="0"/>
        <w:jc w:val="both"/>
        <w:textAlignment w:val="baseline"/>
        <w:rPr>
          <w:rFonts w:ascii="Calibri" w:hAnsi="Calibri" w:cs="Calibri"/>
          <w:color w:val="000000"/>
        </w:rPr>
      </w:pPr>
      <w:r>
        <w:rPr>
          <w:rFonts w:ascii="Calibri" w:hAnsi="Calibri" w:cs="Calibri"/>
          <w:color w:val="000000"/>
        </w:rPr>
        <w:t>The number of applications pending increased from 341 at the end of Q4 of FY 2022 to 397 in Q1 of FY 2023 (see Table 1, above).  This increase in the number of applications pending is likely linked to the decrease in the number of applications approved as explained in the second bulleted paragraph above.  The number of applications pending at the end of the current reporting period (Q1 of FY 2023) was calculated by adding the number of applications pending from the previous quarter (Q4 of FY 2022) (</w:t>
      </w:r>
      <w:r>
        <w:rPr>
          <w:rFonts w:ascii="Calibri" w:hAnsi="Calibri" w:cs="Calibri"/>
          <w:i/>
          <w:iCs/>
          <w:color w:val="000000"/>
        </w:rPr>
        <w:t>i.e.</w:t>
      </w:r>
      <w:r>
        <w:rPr>
          <w:rFonts w:ascii="Calibri" w:hAnsi="Calibri" w:cs="Calibri"/>
          <w:color w:val="000000"/>
        </w:rPr>
        <w:t>, 341) to the number of applications received during Q1 of FY 2023 (</w:t>
      </w:r>
      <w:r>
        <w:rPr>
          <w:rFonts w:ascii="Calibri" w:hAnsi="Calibri" w:cs="Calibri"/>
          <w:i/>
          <w:iCs/>
          <w:color w:val="000000"/>
        </w:rPr>
        <w:t>i.e.</w:t>
      </w:r>
      <w:r>
        <w:rPr>
          <w:rFonts w:ascii="Calibri" w:hAnsi="Calibri" w:cs="Calibri"/>
          <w:color w:val="000000"/>
        </w:rPr>
        <w:t>, 149).  From this total, GSA staff then subtracted the number approved (</w:t>
      </w:r>
      <w:r>
        <w:rPr>
          <w:rFonts w:ascii="Calibri" w:hAnsi="Calibri" w:cs="Calibri"/>
          <w:i/>
          <w:iCs/>
          <w:color w:val="000000"/>
        </w:rPr>
        <w:t>i.e.</w:t>
      </w:r>
      <w:r>
        <w:rPr>
          <w:rFonts w:ascii="Calibri" w:hAnsi="Calibri" w:cs="Calibri"/>
          <w:color w:val="000000"/>
        </w:rPr>
        <w:t>, 80), the number withdrawn (</w:t>
      </w:r>
      <w:r>
        <w:rPr>
          <w:rFonts w:ascii="Calibri" w:hAnsi="Calibri" w:cs="Calibri"/>
          <w:i/>
          <w:iCs/>
          <w:color w:val="000000"/>
        </w:rPr>
        <w:t>i.e.</w:t>
      </w:r>
      <w:r>
        <w:rPr>
          <w:rFonts w:ascii="Calibri" w:hAnsi="Calibri" w:cs="Calibri"/>
          <w:color w:val="000000"/>
        </w:rPr>
        <w:t>, 13) and the number rejected (</w:t>
      </w:r>
      <w:r>
        <w:rPr>
          <w:rFonts w:ascii="Calibri" w:hAnsi="Calibri" w:cs="Calibri"/>
          <w:i/>
          <w:iCs/>
          <w:color w:val="000000"/>
        </w:rPr>
        <w:t>i.e.</w:t>
      </w:r>
      <w:r>
        <w:rPr>
          <w:rFonts w:ascii="Calibri" w:hAnsi="Calibri" w:cs="Calibri"/>
          <w:color w:val="000000"/>
        </w:rPr>
        <w:t>, 0) in Q1 of FY 2023.  The applications remaining at the end of the quarter had an average pending time of 321 days.  This figure is most likely the result of inconsistent approaches to counting what constitutes a newly received application and when the timeline starts.  Agencies have noted that some field offices count receipt of a new application from the moment any part of the application is received (</w:t>
      </w:r>
      <w:r>
        <w:rPr>
          <w:rFonts w:ascii="Calibri" w:hAnsi="Calibri" w:cs="Calibri"/>
          <w:i/>
          <w:iCs/>
          <w:color w:val="000000"/>
        </w:rPr>
        <w:t>i.e.</w:t>
      </w:r>
      <w:r>
        <w:rPr>
          <w:rFonts w:ascii="Calibri" w:hAnsi="Calibri" w:cs="Calibri"/>
          <w:color w:val="000000"/>
        </w:rPr>
        <w:t>, an incomplete application), while others wait until a fully completed application is received to start the clock.  GSA is aware of this issue and has been working with agencies to adopt a more consistent approach to logging and counting new and pending applications.  GSA is also exploring the possibility of migrating the E.O. 13821 data collection effort to a more robust platform that will enhance GSA’s ability to analyze the agencies’ submissions.</w:t>
      </w:r>
    </w:p>
    <w:p w14:paraId="29F5050C" w14:textId="77777777" w:rsidR="00E76BF0" w:rsidRDefault="00E76BF0" w:rsidP="00E76BF0">
      <w:pPr>
        <w:pStyle w:val="NormalWeb"/>
        <w:shd w:val="clear" w:color="auto" w:fill="FFFFFF"/>
        <w:spacing w:before="0" w:beforeAutospacing="0" w:after="0" w:afterAutospacing="0"/>
        <w:ind w:left="720"/>
        <w:jc w:val="both"/>
      </w:pPr>
    </w:p>
    <w:p w14:paraId="0378B77F" w14:textId="2FBC7792" w:rsidR="003B2144" w:rsidRPr="003B2144" w:rsidRDefault="003B2144" w:rsidP="003B2144">
      <w:pPr>
        <w:pStyle w:val="NormalWeb"/>
        <w:shd w:val="clear" w:color="auto" w:fill="FFFFFF"/>
        <w:spacing w:before="0" w:beforeAutospacing="0" w:after="0" w:afterAutospacing="0"/>
        <w:rPr>
          <w:rFonts w:ascii="Calibri" w:hAnsi="Calibri" w:cs="Calibri"/>
          <w:color w:val="000000"/>
        </w:rPr>
      </w:pPr>
      <w:r w:rsidRPr="003B2144">
        <w:rPr>
          <w:rFonts w:ascii="Calibri" w:hAnsi="Calibri" w:cs="Calibri"/>
          <w:color w:val="000000"/>
        </w:rPr>
        <w:t> </w:t>
      </w:r>
    </w:p>
    <w:p w14:paraId="49244526" w14:textId="77777777" w:rsidR="003B2144" w:rsidRPr="003B2144" w:rsidRDefault="003B2144" w:rsidP="003B2144">
      <w:pPr>
        <w:pStyle w:val="NormalWeb"/>
        <w:shd w:val="clear" w:color="auto" w:fill="FFFFFF"/>
        <w:spacing w:before="0" w:beforeAutospacing="0" w:after="0" w:afterAutospacing="0"/>
        <w:rPr>
          <w:rFonts w:ascii="Calibri" w:hAnsi="Calibri" w:cs="Calibri"/>
          <w:color w:val="000000"/>
        </w:rPr>
      </w:pPr>
    </w:p>
    <w:p w14:paraId="6062E78E" w14:textId="0CAED267" w:rsidR="00985B19" w:rsidRPr="003B2144" w:rsidRDefault="00985B19" w:rsidP="003B2144">
      <w:pPr>
        <w:pStyle w:val="NormalWeb"/>
        <w:spacing w:before="0" w:beforeAutospacing="0" w:after="160" w:afterAutospacing="0"/>
        <w:ind w:left="720"/>
        <w:jc w:val="both"/>
        <w:textAlignment w:val="baseline"/>
        <w:rPr>
          <w:rFonts w:ascii="Calibri" w:hAnsi="Calibri" w:cs="Calibri"/>
          <w:color w:val="000000"/>
        </w:rPr>
        <w:sectPr w:rsidR="00985B19" w:rsidRPr="003B21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pPr>
    </w:p>
    <w:p w14:paraId="503845BA" w14:textId="77777777" w:rsidR="00B34815" w:rsidRPr="003F58EE" w:rsidRDefault="00B34815">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p>
    <w:p w14:paraId="19D7C731" w14:textId="77777777"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 xml:space="preserve">1.  Does your agency have custody and control of, or responsibility for managing:  federal lands, </w:t>
      </w:r>
      <w:proofErr w:type="gramStart"/>
      <w:r w:rsidRPr="003F58EE">
        <w:rPr>
          <w:rFonts w:ascii="Calibri Light" w:eastAsia="Times New Roman" w:hAnsi="Calibri Light" w:cs="Calibri Light"/>
          <w:color w:val="000000"/>
          <w:sz w:val="24"/>
          <w:szCs w:val="24"/>
        </w:rPr>
        <w:t>buildings</w:t>
      </w:r>
      <w:proofErr w:type="gramEnd"/>
      <w:r w:rsidRPr="003F58EE">
        <w:rPr>
          <w:rFonts w:ascii="Calibri Light" w:eastAsia="Times New Roman" w:hAnsi="Calibri Light" w:cs="Calibri Light"/>
          <w:color w:val="000000"/>
          <w:sz w:val="24"/>
          <w:szCs w:val="24"/>
        </w:rPr>
        <w:t xml:space="preserve"> and rights of way; federally assisted highways; or tribal lands?  If yes, please answer question 2. </w:t>
      </w:r>
    </w:p>
    <w:p w14:paraId="06015562" w14:textId="77777777" w:rsidR="00B34815" w:rsidRPr="003F58EE" w:rsidRDefault="00B34815">
      <w:pPr>
        <w:pBdr>
          <w:top w:val="nil"/>
          <w:left w:val="nil"/>
          <w:bottom w:val="nil"/>
          <w:right w:val="nil"/>
          <w:between w:val="nil"/>
        </w:pBdr>
        <w:spacing w:after="0" w:line="240" w:lineRule="auto"/>
        <w:ind w:left="360" w:firstLine="0"/>
        <w:jc w:val="both"/>
        <w:rPr>
          <w:rFonts w:ascii="Calibri Light" w:eastAsia="Times New Roman" w:hAnsi="Calibri Light" w:cs="Calibri Light"/>
          <w:color w:val="000000"/>
          <w:sz w:val="24"/>
          <w:szCs w:val="24"/>
        </w:rPr>
      </w:pPr>
    </w:p>
    <w:p w14:paraId="7C353503" w14:textId="77777777"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 xml:space="preserve">2.  Did your agency process any applications during the preceding quarter? </w:t>
      </w:r>
    </w:p>
    <w:p w14:paraId="203FBEEF" w14:textId="41178E1F"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 xml:space="preserve">For the purposes of this survey, "applications" refer to </w:t>
      </w:r>
      <w:r w:rsidRPr="003F58EE">
        <w:rPr>
          <w:rFonts w:ascii="Calibri Light" w:eastAsia="Times New Roman" w:hAnsi="Calibri Light" w:cs="Calibri Light"/>
          <w:sz w:val="24"/>
          <w:szCs w:val="24"/>
        </w:rPr>
        <w:t>the</w:t>
      </w:r>
      <w:r w:rsidRPr="003F58EE">
        <w:rPr>
          <w:rFonts w:ascii="Calibri Light" w:eastAsia="Times New Roman" w:hAnsi="Calibri Light" w:cs="Calibri Light"/>
          <w:color w:val="000000"/>
          <w:sz w:val="24"/>
          <w:szCs w:val="24"/>
        </w:rPr>
        <w:t xml:space="preserve"> r</w:t>
      </w:r>
      <w:r w:rsidRPr="003F58EE">
        <w:rPr>
          <w:rFonts w:ascii="Calibri Light" w:eastAsia="Times New Roman" w:hAnsi="Calibri Light" w:cs="Calibri Light"/>
          <w:sz w:val="24"/>
          <w:szCs w:val="24"/>
        </w:rPr>
        <w:t>evised</w:t>
      </w:r>
      <w:r w:rsidRPr="003F58EE">
        <w:rPr>
          <w:rFonts w:ascii="Calibri Light" w:eastAsia="Times New Roman" w:hAnsi="Calibri Light" w:cs="Calibri Light"/>
          <w:color w:val="000000"/>
          <w:sz w:val="24"/>
          <w:szCs w:val="24"/>
        </w:rPr>
        <w:t xml:space="preserve"> SF-299 or similar application</w:t>
      </w:r>
      <w:r w:rsidR="007354D9">
        <w:rPr>
          <w:rFonts w:ascii="Calibri Light" w:eastAsia="Times New Roman" w:hAnsi="Calibri Light" w:cs="Calibri Light"/>
          <w:color w:val="000000"/>
          <w:sz w:val="24"/>
          <w:szCs w:val="24"/>
        </w:rPr>
        <w:t>.</w:t>
      </w:r>
    </w:p>
    <w:p w14:paraId="488CA0A1" w14:textId="77777777" w:rsidR="00B34815" w:rsidRPr="003F58EE" w:rsidRDefault="00B34815">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p>
    <w:p w14:paraId="55FB171B" w14:textId="77777777"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 xml:space="preserve">If an agency answers “yes” to both questions 1 and 2, they must enter detailed-level data in a spreadsheet for each application received. </w:t>
      </w:r>
    </w:p>
    <w:p w14:paraId="1CB23FC0" w14:textId="77777777" w:rsidR="00B34815" w:rsidRPr="003F58EE" w:rsidRDefault="00B34815">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p>
    <w:p w14:paraId="7D447386" w14:textId="77777777"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3.  For each permit received or processed, enter the respective information in the columns below. Please enter information on all permits submitted in previous quarters.</w:t>
      </w:r>
    </w:p>
    <w:p w14:paraId="4610E686" w14:textId="77777777" w:rsidR="00B34815" w:rsidRPr="003F58EE" w:rsidRDefault="00B34815">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p>
    <w:p w14:paraId="11686C7D" w14:textId="77777777" w:rsidR="00B34815" w:rsidRPr="003F58EE" w:rsidRDefault="007213CB">
      <w:pPr>
        <w:pBdr>
          <w:top w:val="nil"/>
          <w:left w:val="nil"/>
          <w:bottom w:val="nil"/>
          <w:right w:val="nil"/>
          <w:between w:val="nil"/>
        </w:pBdr>
        <w:spacing w:after="0"/>
        <w:ind w:left="0" w:hanging="2"/>
        <w:jc w:val="both"/>
        <w:rPr>
          <w:rFonts w:ascii="Calibri Light" w:eastAsia="Times New Roman" w:hAnsi="Calibri Light" w:cs="Calibri Light"/>
          <w:color w:val="000000"/>
          <w:sz w:val="24"/>
          <w:szCs w:val="24"/>
        </w:rPr>
      </w:pPr>
      <w:r w:rsidRPr="003F58EE">
        <w:rPr>
          <w:rFonts w:ascii="Calibri Light" w:eastAsia="Times New Roman" w:hAnsi="Calibri Light" w:cs="Calibri Light"/>
          <w:color w:val="000000"/>
          <w:sz w:val="24"/>
          <w:szCs w:val="24"/>
        </w:rPr>
        <w:t>The spreadsheet data fields include the following:</w:t>
      </w:r>
    </w:p>
    <w:p w14:paraId="6E16A7A9" w14:textId="77777777" w:rsidR="00B34815" w:rsidRPr="003F58EE" w:rsidRDefault="007213CB">
      <w:pPr>
        <w:numPr>
          <w:ilvl w:val="0"/>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Agency/Bureau</w:t>
      </w:r>
    </w:p>
    <w:p w14:paraId="762AFDB2" w14:textId="77777777" w:rsidR="00B34815" w:rsidRPr="003F58EE" w:rsidRDefault="007213CB">
      <w:pPr>
        <w:numPr>
          <w:ilvl w:val="0"/>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Permit Application ID</w:t>
      </w:r>
    </w:p>
    <w:p w14:paraId="6A5386E1" w14:textId="77777777" w:rsidR="00B34815" w:rsidRPr="003F58EE" w:rsidRDefault="007213CB">
      <w:pPr>
        <w:numPr>
          <w:ilvl w:val="0"/>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Submittal date</w:t>
      </w:r>
    </w:p>
    <w:p w14:paraId="216A5143" w14:textId="77777777" w:rsidR="00B34815" w:rsidRPr="003F58EE" w:rsidRDefault="007213CB">
      <w:pPr>
        <w:numPr>
          <w:ilvl w:val="0"/>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 xml:space="preserve">Status </w:t>
      </w:r>
    </w:p>
    <w:p w14:paraId="06BC43EC"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Approved</w:t>
      </w:r>
    </w:p>
    <w:p w14:paraId="7F865A45"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Rejected</w:t>
      </w:r>
    </w:p>
    <w:p w14:paraId="60420958"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 xml:space="preserve">Pending </w:t>
      </w:r>
    </w:p>
    <w:p w14:paraId="606D4D9B"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Withdrawn</w:t>
      </w:r>
    </w:p>
    <w:p w14:paraId="5C472EF0"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Authorized</w:t>
      </w:r>
    </w:p>
    <w:p w14:paraId="31E0A227" w14:textId="77777777" w:rsidR="00B34815" w:rsidRPr="003F58EE" w:rsidRDefault="007213CB">
      <w:pPr>
        <w:numPr>
          <w:ilvl w:val="0"/>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 xml:space="preserve">If approved, date approved; if rejected, date rejected; if withdrawn, date withdrawn; if authorized, date authorized </w:t>
      </w:r>
    </w:p>
    <w:p w14:paraId="11B97A67" w14:textId="77777777" w:rsidR="00B34815" w:rsidRPr="003F58EE" w:rsidRDefault="007213CB">
      <w:pPr>
        <w:numPr>
          <w:ilvl w:val="0"/>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Reason for rejection</w:t>
      </w:r>
    </w:p>
    <w:p w14:paraId="139978CB"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Inaccurate information</w:t>
      </w:r>
    </w:p>
    <w:p w14:paraId="01BBC024" w14:textId="77777777" w:rsidR="00B34815" w:rsidRPr="003F58EE" w:rsidRDefault="007213CB">
      <w:pPr>
        <w:numPr>
          <w:ilvl w:val="1"/>
          <w:numId w:val="2"/>
        </w:numPr>
        <w:pBdr>
          <w:top w:val="nil"/>
          <w:left w:val="nil"/>
          <w:bottom w:val="nil"/>
          <w:right w:val="nil"/>
          <w:between w:val="nil"/>
        </w:pBdr>
        <w:spacing w:after="0"/>
        <w:jc w:val="both"/>
        <w:rPr>
          <w:rFonts w:ascii="Calibri Light" w:hAnsi="Calibri Light" w:cs="Calibri Light"/>
          <w:color w:val="000000"/>
          <w:sz w:val="24"/>
          <w:szCs w:val="24"/>
        </w:rPr>
      </w:pPr>
      <w:r w:rsidRPr="003F58EE">
        <w:rPr>
          <w:rFonts w:ascii="Calibri Light" w:eastAsia="Times New Roman" w:hAnsi="Calibri Light" w:cs="Calibri Light"/>
          <w:color w:val="000000"/>
          <w:sz w:val="24"/>
          <w:szCs w:val="24"/>
        </w:rPr>
        <w:t>Incomplete application</w:t>
      </w:r>
    </w:p>
    <w:p w14:paraId="772B1478" w14:textId="77777777" w:rsidR="009109AA" w:rsidRDefault="007213CB">
      <w:pPr>
        <w:numPr>
          <w:ilvl w:val="1"/>
          <w:numId w:val="2"/>
        </w:numPr>
        <w:pBdr>
          <w:top w:val="nil"/>
          <w:left w:val="nil"/>
          <w:bottom w:val="nil"/>
          <w:right w:val="nil"/>
          <w:between w:val="nil"/>
        </w:pBdr>
        <w:spacing w:after="0"/>
        <w:jc w:val="both"/>
        <w:rPr>
          <w:rFonts w:ascii="Calibri Light" w:eastAsia="Times New Roman" w:hAnsi="Calibri Light" w:cs="Calibri Light"/>
          <w:sz w:val="24"/>
          <w:szCs w:val="24"/>
        </w:rPr>
        <w:sectPr w:rsidR="009109AA">
          <w:headerReference w:type="default" r:id="rId16"/>
          <w:pgSz w:w="12240" w:h="15840"/>
          <w:pgMar w:top="1440" w:right="1440" w:bottom="1440" w:left="1440" w:header="720" w:footer="720" w:gutter="0"/>
          <w:cols w:space="720"/>
        </w:sectPr>
      </w:pPr>
      <w:r w:rsidRPr="003F58EE">
        <w:rPr>
          <w:rFonts w:ascii="Calibri Light" w:eastAsia="Times New Roman" w:hAnsi="Calibri Light" w:cs="Calibri Light"/>
          <w:color w:val="000000"/>
          <w:sz w:val="24"/>
          <w:szCs w:val="24"/>
        </w:rPr>
        <w:t>Oth</w:t>
      </w:r>
      <w:r w:rsidRPr="003F58EE">
        <w:rPr>
          <w:rFonts w:ascii="Calibri Light" w:eastAsia="Times New Roman" w:hAnsi="Calibri Light" w:cs="Calibri Light"/>
          <w:sz w:val="24"/>
          <w:szCs w:val="24"/>
        </w:rPr>
        <w:t>er</w:t>
      </w:r>
    </w:p>
    <w:p w14:paraId="7404B992" w14:textId="3D867470" w:rsidR="00B34815" w:rsidRDefault="00E33534">
      <w:pPr>
        <w:ind w:left="0" w:firstLine="0"/>
        <w:rPr>
          <w:rFonts w:ascii="Arial" w:eastAsia="Arial" w:hAnsi="Arial" w:cs="Arial"/>
          <w:sz w:val="20"/>
          <w:szCs w:val="20"/>
        </w:rPr>
      </w:pPr>
      <w:r>
        <w:rPr>
          <w:color w:val="000000"/>
        </w:rPr>
        <w:lastRenderedPageBreak/>
        <w:t>Appendix B lists all the Federal property managing agencies and bureaus that GSA surveyed, and which agencies responded to the survey.</w:t>
      </w:r>
    </w:p>
    <w:tbl>
      <w:tblPr>
        <w:tblStyle w:val="2"/>
        <w:tblW w:w="9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140"/>
        <w:gridCol w:w="6285"/>
        <w:gridCol w:w="1950"/>
      </w:tblGrid>
      <w:tr w:rsidR="00E33534" w14:paraId="79E83DC6" w14:textId="77777777" w:rsidTr="00851662">
        <w:trPr>
          <w:trHeight w:val="212"/>
          <w:jc w:val="center"/>
        </w:trPr>
        <w:tc>
          <w:tcPr>
            <w:tcW w:w="1140" w:type="dxa"/>
            <w:shd w:val="clear" w:color="auto" w:fill="0070C0"/>
          </w:tcPr>
          <w:p w14:paraId="383F0E43" w14:textId="77777777" w:rsidR="00E33534" w:rsidRPr="006F6325" w:rsidRDefault="00E33534" w:rsidP="00123122">
            <w:pPr>
              <w:spacing w:after="0" w:line="240" w:lineRule="auto"/>
              <w:ind w:left="0" w:hanging="2"/>
              <w:jc w:val="center"/>
              <w:rPr>
                <w:rFonts w:ascii="Calibri Light" w:eastAsia="Times New Roman" w:hAnsi="Calibri Light" w:cs="Calibri Light"/>
                <w:color w:val="000000" w:themeColor="text1"/>
                <w:sz w:val="24"/>
                <w:szCs w:val="24"/>
              </w:rPr>
            </w:pPr>
            <w:r w:rsidRPr="006F6325">
              <w:rPr>
                <w:rFonts w:ascii="Calibri Light" w:eastAsia="Times New Roman" w:hAnsi="Calibri Light" w:cs="Calibri Light"/>
                <w:color w:val="000000" w:themeColor="text1"/>
                <w:sz w:val="24"/>
                <w:szCs w:val="24"/>
              </w:rPr>
              <w:t xml:space="preserve">No. </w:t>
            </w:r>
          </w:p>
        </w:tc>
        <w:tc>
          <w:tcPr>
            <w:tcW w:w="6285" w:type="dxa"/>
            <w:shd w:val="clear" w:color="auto" w:fill="0070C0"/>
          </w:tcPr>
          <w:p w14:paraId="6612FF1F" w14:textId="77777777" w:rsidR="00E33534" w:rsidRPr="006F6325" w:rsidRDefault="00E33534" w:rsidP="00123122">
            <w:pPr>
              <w:spacing w:after="0" w:line="240" w:lineRule="auto"/>
              <w:ind w:left="0" w:hanging="2"/>
              <w:jc w:val="center"/>
              <w:rPr>
                <w:rFonts w:ascii="Calibri Light" w:eastAsia="Times New Roman" w:hAnsi="Calibri Light" w:cs="Calibri Light"/>
                <w:color w:val="000000" w:themeColor="text1"/>
                <w:sz w:val="24"/>
                <w:szCs w:val="24"/>
              </w:rPr>
            </w:pPr>
            <w:r w:rsidRPr="006F6325">
              <w:rPr>
                <w:rFonts w:ascii="Calibri Light" w:eastAsia="Times New Roman" w:hAnsi="Calibri Light" w:cs="Calibri Light"/>
                <w:color w:val="000000" w:themeColor="text1"/>
                <w:sz w:val="24"/>
                <w:szCs w:val="24"/>
              </w:rPr>
              <w:t>Agency/Bureau</w:t>
            </w:r>
          </w:p>
        </w:tc>
        <w:tc>
          <w:tcPr>
            <w:tcW w:w="1950" w:type="dxa"/>
            <w:shd w:val="clear" w:color="auto" w:fill="0070C0"/>
          </w:tcPr>
          <w:p w14:paraId="01D23FDA" w14:textId="77777777" w:rsidR="00E33534" w:rsidRPr="006F6325" w:rsidRDefault="00E33534" w:rsidP="00123122">
            <w:pPr>
              <w:spacing w:after="0" w:line="240" w:lineRule="auto"/>
              <w:ind w:left="0" w:hanging="2"/>
              <w:jc w:val="center"/>
              <w:rPr>
                <w:rFonts w:ascii="Calibri Light" w:eastAsia="Times New Roman" w:hAnsi="Calibri Light" w:cs="Calibri Light"/>
                <w:color w:val="000000" w:themeColor="text1"/>
                <w:sz w:val="24"/>
                <w:szCs w:val="24"/>
              </w:rPr>
            </w:pPr>
            <w:r w:rsidRPr="006F6325">
              <w:rPr>
                <w:rFonts w:ascii="Calibri Light" w:eastAsia="Times New Roman" w:hAnsi="Calibri Light" w:cs="Calibri Light"/>
                <w:color w:val="000000" w:themeColor="text1"/>
                <w:sz w:val="24"/>
                <w:szCs w:val="24"/>
              </w:rPr>
              <w:t>Survey Response Received</w:t>
            </w:r>
          </w:p>
        </w:tc>
      </w:tr>
      <w:tr w:rsidR="00E33534" w14:paraId="18E9C742" w14:textId="77777777" w:rsidTr="00851662">
        <w:trPr>
          <w:jc w:val="center"/>
        </w:trPr>
        <w:tc>
          <w:tcPr>
            <w:tcW w:w="1140" w:type="dxa"/>
          </w:tcPr>
          <w:p w14:paraId="5D96BBE2" w14:textId="77777777" w:rsidR="00E33534" w:rsidRPr="009F7F5C" w:rsidRDefault="00E33534" w:rsidP="00123122">
            <w:pPr>
              <w:spacing w:after="0" w:line="240" w:lineRule="auto"/>
              <w:ind w:left="0" w:firstLine="0"/>
              <w:jc w:val="center"/>
              <w:rPr>
                <w:rFonts w:ascii="Calibri Light" w:eastAsia="Times New Roman" w:hAnsi="Calibri Light" w:cs="Calibri Light"/>
              </w:rPr>
            </w:pPr>
            <w:r w:rsidRPr="009F7F5C">
              <w:rPr>
                <w:rFonts w:ascii="Calibri Light" w:eastAsia="Times New Roman" w:hAnsi="Calibri Light" w:cs="Calibri Light"/>
              </w:rPr>
              <w:t>1</w:t>
            </w:r>
          </w:p>
        </w:tc>
        <w:tc>
          <w:tcPr>
            <w:tcW w:w="6285" w:type="dxa"/>
          </w:tcPr>
          <w:p w14:paraId="7AB2ADAE"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Agency for Global Media</w:t>
            </w:r>
          </w:p>
        </w:tc>
        <w:tc>
          <w:tcPr>
            <w:tcW w:w="1950" w:type="dxa"/>
          </w:tcPr>
          <w:p w14:paraId="33BDF196"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B69B3AE" w14:textId="77777777" w:rsidTr="00851662">
        <w:trPr>
          <w:trHeight w:val="355"/>
          <w:jc w:val="center"/>
        </w:trPr>
        <w:tc>
          <w:tcPr>
            <w:tcW w:w="1140" w:type="dxa"/>
          </w:tcPr>
          <w:p w14:paraId="5B8DF88E"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w:t>
            </w:r>
          </w:p>
        </w:tc>
        <w:tc>
          <w:tcPr>
            <w:tcW w:w="6285" w:type="dxa"/>
          </w:tcPr>
          <w:p w14:paraId="708547A9"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Barry Goldwater Scholarship and Excellence in Education Foundation</w:t>
            </w:r>
          </w:p>
        </w:tc>
        <w:tc>
          <w:tcPr>
            <w:tcW w:w="1950" w:type="dxa"/>
          </w:tcPr>
          <w:p w14:paraId="441B03B3"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7285DCBC" w14:textId="77777777" w:rsidTr="00851662">
        <w:trPr>
          <w:jc w:val="center"/>
        </w:trPr>
        <w:tc>
          <w:tcPr>
            <w:tcW w:w="1140" w:type="dxa"/>
          </w:tcPr>
          <w:p w14:paraId="011F094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w:t>
            </w:r>
          </w:p>
        </w:tc>
        <w:tc>
          <w:tcPr>
            <w:tcW w:w="6285" w:type="dxa"/>
          </w:tcPr>
          <w:p w14:paraId="1EB2E3CC"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Chemical Safety and Hazard Investigation Board</w:t>
            </w:r>
          </w:p>
        </w:tc>
        <w:tc>
          <w:tcPr>
            <w:tcW w:w="1950" w:type="dxa"/>
          </w:tcPr>
          <w:p w14:paraId="4FD9D324" w14:textId="0D7140D0" w:rsidR="00E33534" w:rsidRPr="009F7F5C" w:rsidRDefault="00B53305"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No</w:t>
            </w:r>
          </w:p>
        </w:tc>
      </w:tr>
      <w:tr w:rsidR="00E33534" w14:paraId="2C427DE3" w14:textId="77777777" w:rsidTr="00851662">
        <w:trPr>
          <w:jc w:val="center"/>
        </w:trPr>
        <w:tc>
          <w:tcPr>
            <w:tcW w:w="1140" w:type="dxa"/>
          </w:tcPr>
          <w:p w14:paraId="147219ED"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4</w:t>
            </w:r>
          </w:p>
        </w:tc>
        <w:tc>
          <w:tcPr>
            <w:tcW w:w="6285" w:type="dxa"/>
          </w:tcPr>
          <w:p w14:paraId="785955DD"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Commodity Futures Trading Commission</w:t>
            </w:r>
          </w:p>
        </w:tc>
        <w:tc>
          <w:tcPr>
            <w:tcW w:w="1950" w:type="dxa"/>
          </w:tcPr>
          <w:p w14:paraId="163FE50A" w14:textId="10BFB814" w:rsidR="00E33534" w:rsidRPr="009F7F5C" w:rsidRDefault="00B53305"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No</w:t>
            </w:r>
          </w:p>
        </w:tc>
      </w:tr>
      <w:tr w:rsidR="00E33534" w14:paraId="1270B47F" w14:textId="77777777" w:rsidTr="00851662">
        <w:trPr>
          <w:jc w:val="center"/>
        </w:trPr>
        <w:tc>
          <w:tcPr>
            <w:tcW w:w="1140" w:type="dxa"/>
          </w:tcPr>
          <w:p w14:paraId="0DE42B5C"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5</w:t>
            </w:r>
          </w:p>
        </w:tc>
        <w:tc>
          <w:tcPr>
            <w:tcW w:w="6285" w:type="dxa"/>
          </w:tcPr>
          <w:p w14:paraId="05601D40"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Agriculture, US Forest Service</w:t>
            </w:r>
          </w:p>
        </w:tc>
        <w:tc>
          <w:tcPr>
            <w:tcW w:w="1950" w:type="dxa"/>
          </w:tcPr>
          <w:p w14:paraId="534ED5E6"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36D4247D" w14:textId="77777777" w:rsidTr="00851662">
        <w:trPr>
          <w:jc w:val="center"/>
        </w:trPr>
        <w:tc>
          <w:tcPr>
            <w:tcW w:w="1140" w:type="dxa"/>
          </w:tcPr>
          <w:p w14:paraId="08C91ABF"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6</w:t>
            </w:r>
          </w:p>
        </w:tc>
        <w:tc>
          <w:tcPr>
            <w:tcW w:w="6285" w:type="dxa"/>
          </w:tcPr>
          <w:p w14:paraId="2613C41D"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Commerce</w:t>
            </w:r>
          </w:p>
        </w:tc>
        <w:tc>
          <w:tcPr>
            <w:tcW w:w="1950" w:type="dxa"/>
          </w:tcPr>
          <w:p w14:paraId="5F576540"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07B65049" w14:textId="77777777" w:rsidTr="00851662">
        <w:trPr>
          <w:jc w:val="center"/>
        </w:trPr>
        <w:tc>
          <w:tcPr>
            <w:tcW w:w="1140" w:type="dxa"/>
          </w:tcPr>
          <w:p w14:paraId="038899E5"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7</w:t>
            </w:r>
          </w:p>
        </w:tc>
        <w:tc>
          <w:tcPr>
            <w:tcW w:w="6285" w:type="dxa"/>
          </w:tcPr>
          <w:p w14:paraId="2A84886F"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Energy</w:t>
            </w:r>
          </w:p>
        </w:tc>
        <w:tc>
          <w:tcPr>
            <w:tcW w:w="1950" w:type="dxa"/>
          </w:tcPr>
          <w:p w14:paraId="3972E48A"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14D6364B" w14:textId="77777777" w:rsidTr="00851662">
        <w:trPr>
          <w:jc w:val="center"/>
        </w:trPr>
        <w:tc>
          <w:tcPr>
            <w:tcW w:w="1140" w:type="dxa"/>
          </w:tcPr>
          <w:p w14:paraId="7832C54D"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8</w:t>
            </w:r>
          </w:p>
        </w:tc>
        <w:tc>
          <w:tcPr>
            <w:tcW w:w="6285" w:type="dxa"/>
          </w:tcPr>
          <w:p w14:paraId="4EC8116F"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Homeland Security</w:t>
            </w:r>
          </w:p>
        </w:tc>
        <w:tc>
          <w:tcPr>
            <w:tcW w:w="1950" w:type="dxa"/>
          </w:tcPr>
          <w:p w14:paraId="6C51AFE8"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 xml:space="preserve">              Yes</w:t>
            </w:r>
          </w:p>
        </w:tc>
      </w:tr>
      <w:tr w:rsidR="00E33534" w14:paraId="35B5AE36" w14:textId="77777777" w:rsidTr="00851662">
        <w:trPr>
          <w:trHeight w:val="195"/>
          <w:jc w:val="center"/>
        </w:trPr>
        <w:tc>
          <w:tcPr>
            <w:tcW w:w="1140" w:type="dxa"/>
          </w:tcPr>
          <w:p w14:paraId="78ED9B0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9</w:t>
            </w:r>
          </w:p>
        </w:tc>
        <w:tc>
          <w:tcPr>
            <w:tcW w:w="6285" w:type="dxa"/>
          </w:tcPr>
          <w:p w14:paraId="4E608BAB"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Labor</w:t>
            </w:r>
          </w:p>
        </w:tc>
        <w:tc>
          <w:tcPr>
            <w:tcW w:w="1950" w:type="dxa"/>
          </w:tcPr>
          <w:p w14:paraId="68DB0758"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E33534" w14:paraId="38CF46C9" w14:textId="77777777" w:rsidTr="00851662">
        <w:trPr>
          <w:jc w:val="center"/>
        </w:trPr>
        <w:tc>
          <w:tcPr>
            <w:tcW w:w="1140" w:type="dxa"/>
          </w:tcPr>
          <w:p w14:paraId="15E90F08"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10</w:t>
            </w:r>
          </w:p>
        </w:tc>
        <w:tc>
          <w:tcPr>
            <w:tcW w:w="6285" w:type="dxa"/>
          </w:tcPr>
          <w:p w14:paraId="28F26F56"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State</w:t>
            </w:r>
          </w:p>
        </w:tc>
        <w:tc>
          <w:tcPr>
            <w:tcW w:w="1950" w:type="dxa"/>
          </w:tcPr>
          <w:p w14:paraId="77A61061"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0160077C" w14:textId="77777777" w:rsidTr="00851662">
        <w:trPr>
          <w:jc w:val="center"/>
        </w:trPr>
        <w:tc>
          <w:tcPr>
            <w:tcW w:w="1140" w:type="dxa"/>
          </w:tcPr>
          <w:p w14:paraId="02DB561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11</w:t>
            </w:r>
          </w:p>
        </w:tc>
        <w:tc>
          <w:tcPr>
            <w:tcW w:w="6285" w:type="dxa"/>
          </w:tcPr>
          <w:p w14:paraId="3381F490"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Air Force</w:t>
            </w:r>
          </w:p>
        </w:tc>
        <w:tc>
          <w:tcPr>
            <w:tcW w:w="1950" w:type="dxa"/>
          </w:tcPr>
          <w:p w14:paraId="1B90141B" w14:textId="77FE715D" w:rsidR="00E33534" w:rsidRPr="009F7F5C" w:rsidRDefault="00FF1B95"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E33534" w14:paraId="3B90452C" w14:textId="77777777" w:rsidTr="00851662">
        <w:trPr>
          <w:jc w:val="center"/>
        </w:trPr>
        <w:tc>
          <w:tcPr>
            <w:tcW w:w="1140" w:type="dxa"/>
          </w:tcPr>
          <w:p w14:paraId="5C0BD1F3"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12</w:t>
            </w:r>
          </w:p>
        </w:tc>
        <w:tc>
          <w:tcPr>
            <w:tcW w:w="6285" w:type="dxa"/>
          </w:tcPr>
          <w:p w14:paraId="4C823011"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Army</w:t>
            </w:r>
          </w:p>
        </w:tc>
        <w:tc>
          <w:tcPr>
            <w:tcW w:w="1950" w:type="dxa"/>
          </w:tcPr>
          <w:p w14:paraId="397AEAD8"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6303AEB2" w14:textId="77777777" w:rsidTr="00851662">
        <w:trPr>
          <w:jc w:val="center"/>
        </w:trPr>
        <w:tc>
          <w:tcPr>
            <w:tcW w:w="1140" w:type="dxa"/>
          </w:tcPr>
          <w:p w14:paraId="28BA879F"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13</w:t>
            </w:r>
          </w:p>
        </w:tc>
        <w:tc>
          <w:tcPr>
            <w:tcW w:w="6285" w:type="dxa"/>
          </w:tcPr>
          <w:p w14:paraId="16F1A20D"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Interior, Bureau of Land Management</w:t>
            </w:r>
          </w:p>
        </w:tc>
        <w:tc>
          <w:tcPr>
            <w:tcW w:w="1950" w:type="dxa"/>
          </w:tcPr>
          <w:p w14:paraId="4EE2848B"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380740CB" w14:textId="77777777" w:rsidTr="00851662">
        <w:trPr>
          <w:jc w:val="center"/>
        </w:trPr>
        <w:tc>
          <w:tcPr>
            <w:tcW w:w="1140" w:type="dxa"/>
          </w:tcPr>
          <w:p w14:paraId="1F51D99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14</w:t>
            </w:r>
          </w:p>
        </w:tc>
        <w:tc>
          <w:tcPr>
            <w:tcW w:w="6285" w:type="dxa"/>
          </w:tcPr>
          <w:p w14:paraId="2214C05C"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Interior, Bureau of Reclamation</w:t>
            </w:r>
          </w:p>
        </w:tc>
        <w:tc>
          <w:tcPr>
            <w:tcW w:w="1950" w:type="dxa"/>
          </w:tcPr>
          <w:p w14:paraId="112448BD"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212893A" w14:textId="77777777" w:rsidTr="00851662">
        <w:trPr>
          <w:jc w:val="center"/>
        </w:trPr>
        <w:tc>
          <w:tcPr>
            <w:tcW w:w="1140" w:type="dxa"/>
          </w:tcPr>
          <w:p w14:paraId="094D8630"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15</w:t>
            </w:r>
          </w:p>
        </w:tc>
        <w:tc>
          <w:tcPr>
            <w:tcW w:w="6285" w:type="dxa"/>
          </w:tcPr>
          <w:p w14:paraId="7E219C20"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Interior, National Park Service</w:t>
            </w:r>
          </w:p>
        </w:tc>
        <w:tc>
          <w:tcPr>
            <w:tcW w:w="1950" w:type="dxa"/>
          </w:tcPr>
          <w:p w14:paraId="6A6F7CC5"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39A3AB9D" w14:textId="77777777" w:rsidTr="00851662">
        <w:trPr>
          <w:jc w:val="center"/>
        </w:trPr>
        <w:tc>
          <w:tcPr>
            <w:tcW w:w="1140" w:type="dxa"/>
          </w:tcPr>
          <w:p w14:paraId="2C2752FC"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16</w:t>
            </w:r>
          </w:p>
        </w:tc>
        <w:tc>
          <w:tcPr>
            <w:tcW w:w="6285" w:type="dxa"/>
          </w:tcPr>
          <w:p w14:paraId="7BA74A03"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Navy</w:t>
            </w:r>
          </w:p>
        </w:tc>
        <w:tc>
          <w:tcPr>
            <w:tcW w:w="1950" w:type="dxa"/>
          </w:tcPr>
          <w:p w14:paraId="5BCF4555" w14:textId="132434E1" w:rsidR="00E33534" w:rsidRPr="009F7F5C" w:rsidRDefault="001C5A07"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E33534" w14:paraId="7317031A" w14:textId="77777777" w:rsidTr="00851662">
        <w:trPr>
          <w:jc w:val="center"/>
        </w:trPr>
        <w:tc>
          <w:tcPr>
            <w:tcW w:w="1140" w:type="dxa"/>
          </w:tcPr>
          <w:p w14:paraId="56FB88CA"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17</w:t>
            </w:r>
          </w:p>
        </w:tc>
        <w:tc>
          <w:tcPr>
            <w:tcW w:w="6285" w:type="dxa"/>
          </w:tcPr>
          <w:p w14:paraId="0ABB96A9"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Treasury</w:t>
            </w:r>
          </w:p>
        </w:tc>
        <w:tc>
          <w:tcPr>
            <w:tcW w:w="1950" w:type="dxa"/>
          </w:tcPr>
          <w:p w14:paraId="598F8CBD"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29DE006A" w14:textId="77777777" w:rsidTr="00851662">
        <w:trPr>
          <w:jc w:val="center"/>
        </w:trPr>
        <w:tc>
          <w:tcPr>
            <w:tcW w:w="1140" w:type="dxa"/>
          </w:tcPr>
          <w:p w14:paraId="54DEF17B"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18</w:t>
            </w:r>
          </w:p>
        </w:tc>
        <w:tc>
          <w:tcPr>
            <w:tcW w:w="6285" w:type="dxa"/>
          </w:tcPr>
          <w:p w14:paraId="07E2F166"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 xml:space="preserve">Department of Transportation </w:t>
            </w:r>
          </w:p>
        </w:tc>
        <w:tc>
          <w:tcPr>
            <w:tcW w:w="1950" w:type="dxa"/>
          </w:tcPr>
          <w:p w14:paraId="2853973E"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4F3BFBF0" w14:textId="77777777" w:rsidTr="00851662">
        <w:trPr>
          <w:jc w:val="center"/>
        </w:trPr>
        <w:tc>
          <w:tcPr>
            <w:tcW w:w="1140" w:type="dxa"/>
          </w:tcPr>
          <w:p w14:paraId="44C2A2A5"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19</w:t>
            </w:r>
          </w:p>
        </w:tc>
        <w:tc>
          <w:tcPr>
            <w:tcW w:w="6285" w:type="dxa"/>
          </w:tcPr>
          <w:p w14:paraId="79E6805C"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Veterans Affairs</w:t>
            </w:r>
          </w:p>
        </w:tc>
        <w:tc>
          <w:tcPr>
            <w:tcW w:w="1950" w:type="dxa"/>
          </w:tcPr>
          <w:p w14:paraId="1AD7434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7ECA15D1" w14:textId="77777777" w:rsidTr="00851662">
        <w:trPr>
          <w:jc w:val="center"/>
        </w:trPr>
        <w:tc>
          <w:tcPr>
            <w:tcW w:w="1140" w:type="dxa"/>
          </w:tcPr>
          <w:p w14:paraId="4B3D1289"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20</w:t>
            </w:r>
          </w:p>
        </w:tc>
        <w:tc>
          <w:tcPr>
            <w:tcW w:w="6285" w:type="dxa"/>
          </w:tcPr>
          <w:p w14:paraId="00FCDE47"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Environmental Protection Agency</w:t>
            </w:r>
          </w:p>
        </w:tc>
        <w:tc>
          <w:tcPr>
            <w:tcW w:w="1950" w:type="dxa"/>
          </w:tcPr>
          <w:p w14:paraId="7FE7E85C"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550E284E" w14:textId="77777777" w:rsidTr="00851662">
        <w:trPr>
          <w:jc w:val="center"/>
        </w:trPr>
        <w:tc>
          <w:tcPr>
            <w:tcW w:w="1140" w:type="dxa"/>
          </w:tcPr>
          <w:p w14:paraId="29B3FD2C"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21</w:t>
            </w:r>
          </w:p>
        </w:tc>
        <w:tc>
          <w:tcPr>
            <w:tcW w:w="6285" w:type="dxa"/>
          </w:tcPr>
          <w:p w14:paraId="79043967"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Export-Import Bank</w:t>
            </w:r>
          </w:p>
        </w:tc>
        <w:tc>
          <w:tcPr>
            <w:tcW w:w="1950" w:type="dxa"/>
          </w:tcPr>
          <w:p w14:paraId="321B1C01"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6C8391F6" w14:textId="77777777" w:rsidTr="00851662">
        <w:trPr>
          <w:jc w:val="center"/>
        </w:trPr>
        <w:tc>
          <w:tcPr>
            <w:tcW w:w="1140" w:type="dxa"/>
          </w:tcPr>
          <w:p w14:paraId="1B2D1F4A"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22</w:t>
            </w:r>
          </w:p>
        </w:tc>
        <w:tc>
          <w:tcPr>
            <w:tcW w:w="6285" w:type="dxa"/>
          </w:tcPr>
          <w:p w14:paraId="2D162364"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Farm Credit System Insurance Corporation</w:t>
            </w:r>
          </w:p>
        </w:tc>
        <w:tc>
          <w:tcPr>
            <w:tcW w:w="1950" w:type="dxa"/>
          </w:tcPr>
          <w:p w14:paraId="45586E1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7502976B" w14:textId="77777777" w:rsidTr="00851662">
        <w:trPr>
          <w:jc w:val="center"/>
        </w:trPr>
        <w:tc>
          <w:tcPr>
            <w:tcW w:w="1140" w:type="dxa"/>
          </w:tcPr>
          <w:p w14:paraId="0E837A0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23</w:t>
            </w:r>
          </w:p>
        </w:tc>
        <w:tc>
          <w:tcPr>
            <w:tcW w:w="6285" w:type="dxa"/>
          </w:tcPr>
          <w:p w14:paraId="64EC9171"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 xml:space="preserve">Federal Communications Commission </w:t>
            </w:r>
          </w:p>
        </w:tc>
        <w:tc>
          <w:tcPr>
            <w:tcW w:w="1950" w:type="dxa"/>
          </w:tcPr>
          <w:p w14:paraId="62947969"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7721B18E" w14:textId="77777777" w:rsidTr="00851662">
        <w:trPr>
          <w:jc w:val="center"/>
        </w:trPr>
        <w:tc>
          <w:tcPr>
            <w:tcW w:w="1140" w:type="dxa"/>
          </w:tcPr>
          <w:p w14:paraId="7F77E1BF"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24</w:t>
            </w:r>
          </w:p>
        </w:tc>
        <w:tc>
          <w:tcPr>
            <w:tcW w:w="6285" w:type="dxa"/>
          </w:tcPr>
          <w:p w14:paraId="351C6296"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Federal Housing Finance Agency</w:t>
            </w:r>
          </w:p>
        </w:tc>
        <w:tc>
          <w:tcPr>
            <w:tcW w:w="1950" w:type="dxa"/>
          </w:tcPr>
          <w:p w14:paraId="1CFED44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026E7C27" w14:textId="77777777" w:rsidTr="00851662">
        <w:trPr>
          <w:jc w:val="center"/>
        </w:trPr>
        <w:tc>
          <w:tcPr>
            <w:tcW w:w="1140" w:type="dxa"/>
          </w:tcPr>
          <w:p w14:paraId="62A57CA9"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25</w:t>
            </w:r>
          </w:p>
        </w:tc>
        <w:tc>
          <w:tcPr>
            <w:tcW w:w="6285" w:type="dxa"/>
          </w:tcPr>
          <w:p w14:paraId="01AC44C7"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Federal Retirement Thrift Investment Board</w:t>
            </w:r>
          </w:p>
        </w:tc>
        <w:tc>
          <w:tcPr>
            <w:tcW w:w="1950" w:type="dxa"/>
          </w:tcPr>
          <w:p w14:paraId="48D7308D"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2C39D70" w14:textId="77777777" w:rsidTr="00851662">
        <w:trPr>
          <w:jc w:val="center"/>
        </w:trPr>
        <w:tc>
          <w:tcPr>
            <w:tcW w:w="1140" w:type="dxa"/>
          </w:tcPr>
          <w:p w14:paraId="639D9000"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26</w:t>
            </w:r>
          </w:p>
        </w:tc>
        <w:tc>
          <w:tcPr>
            <w:tcW w:w="6285" w:type="dxa"/>
          </w:tcPr>
          <w:p w14:paraId="2EAA33CF"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General Services Administration</w:t>
            </w:r>
          </w:p>
        </w:tc>
        <w:tc>
          <w:tcPr>
            <w:tcW w:w="1950" w:type="dxa"/>
          </w:tcPr>
          <w:p w14:paraId="5292549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18CDF10" w14:textId="77777777" w:rsidTr="00851662">
        <w:trPr>
          <w:jc w:val="center"/>
        </w:trPr>
        <w:tc>
          <w:tcPr>
            <w:tcW w:w="1140" w:type="dxa"/>
          </w:tcPr>
          <w:p w14:paraId="357BAC3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27</w:t>
            </w:r>
          </w:p>
        </w:tc>
        <w:tc>
          <w:tcPr>
            <w:tcW w:w="6285" w:type="dxa"/>
          </w:tcPr>
          <w:p w14:paraId="648A0A8D"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John F. Kennedy Center for the Performing Arts</w:t>
            </w:r>
          </w:p>
        </w:tc>
        <w:tc>
          <w:tcPr>
            <w:tcW w:w="1950" w:type="dxa"/>
          </w:tcPr>
          <w:p w14:paraId="1EC39DE3"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6D10FCC9" w14:textId="77777777" w:rsidTr="00851662">
        <w:trPr>
          <w:trHeight w:val="72"/>
          <w:jc w:val="center"/>
        </w:trPr>
        <w:tc>
          <w:tcPr>
            <w:tcW w:w="1140" w:type="dxa"/>
          </w:tcPr>
          <w:p w14:paraId="24563B3C"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28</w:t>
            </w:r>
          </w:p>
        </w:tc>
        <w:tc>
          <w:tcPr>
            <w:tcW w:w="6285" w:type="dxa"/>
          </w:tcPr>
          <w:p w14:paraId="1B2B3F25"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Merit Systems Protection Board</w:t>
            </w:r>
          </w:p>
        </w:tc>
        <w:tc>
          <w:tcPr>
            <w:tcW w:w="1950" w:type="dxa"/>
          </w:tcPr>
          <w:p w14:paraId="652239D1"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7F054EB7" w14:textId="77777777" w:rsidTr="00851662">
        <w:trPr>
          <w:jc w:val="center"/>
        </w:trPr>
        <w:tc>
          <w:tcPr>
            <w:tcW w:w="1140" w:type="dxa"/>
          </w:tcPr>
          <w:p w14:paraId="3FBEA08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29</w:t>
            </w:r>
          </w:p>
        </w:tc>
        <w:tc>
          <w:tcPr>
            <w:tcW w:w="6285" w:type="dxa"/>
          </w:tcPr>
          <w:p w14:paraId="0F206DE0"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Millennium Challenge Corporation</w:t>
            </w:r>
          </w:p>
        </w:tc>
        <w:tc>
          <w:tcPr>
            <w:tcW w:w="1950" w:type="dxa"/>
          </w:tcPr>
          <w:p w14:paraId="6A23EB43"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3B293814" w14:textId="77777777" w:rsidTr="00851662">
        <w:trPr>
          <w:trHeight w:val="340"/>
          <w:jc w:val="center"/>
        </w:trPr>
        <w:tc>
          <w:tcPr>
            <w:tcW w:w="1140" w:type="dxa"/>
          </w:tcPr>
          <w:p w14:paraId="09A9B978"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30</w:t>
            </w:r>
          </w:p>
        </w:tc>
        <w:tc>
          <w:tcPr>
            <w:tcW w:w="6285" w:type="dxa"/>
          </w:tcPr>
          <w:p w14:paraId="4F3CF527"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 xml:space="preserve">Morris K. Udall Scholarship and Excellence in National Environmental Policy Foundation </w:t>
            </w:r>
          </w:p>
        </w:tc>
        <w:tc>
          <w:tcPr>
            <w:tcW w:w="1950" w:type="dxa"/>
          </w:tcPr>
          <w:p w14:paraId="7095BAB9"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935617F" w14:textId="77777777" w:rsidTr="00851662">
        <w:trPr>
          <w:jc w:val="center"/>
        </w:trPr>
        <w:tc>
          <w:tcPr>
            <w:tcW w:w="1140" w:type="dxa"/>
          </w:tcPr>
          <w:p w14:paraId="37592E4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31</w:t>
            </w:r>
          </w:p>
        </w:tc>
        <w:tc>
          <w:tcPr>
            <w:tcW w:w="6285" w:type="dxa"/>
          </w:tcPr>
          <w:p w14:paraId="73506F64"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National Aeronautics and Space Administration</w:t>
            </w:r>
          </w:p>
        </w:tc>
        <w:tc>
          <w:tcPr>
            <w:tcW w:w="1950" w:type="dxa"/>
          </w:tcPr>
          <w:p w14:paraId="6FCE523A"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3087C5DB" w14:textId="77777777" w:rsidTr="00851662">
        <w:trPr>
          <w:jc w:val="center"/>
        </w:trPr>
        <w:tc>
          <w:tcPr>
            <w:tcW w:w="1140" w:type="dxa"/>
          </w:tcPr>
          <w:p w14:paraId="6FEA2AA9"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32</w:t>
            </w:r>
          </w:p>
        </w:tc>
        <w:tc>
          <w:tcPr>
            <w:tcW w:w="6285" w:type="dxa"/>
          </w:tcPr>
          <w:p w14:paraId="05739A52"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National Archives and Records Administration</w:t>
            </w:r>
          </w:p>
        </w:tc>
        <w:tc>
          <w:tcPr>
            <w:tcW w:w="1950" w:type="dxa"/>
          </w:tcPr>
          <w:p w14:paraId="3EF3F842"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1D0DC3BC" w14:textId="77777777" w:rsidTr="00851662">
        <w:trPr>
          <w:trHeight w:val="165"/>
          <w:jc w:val="center"/>
        </w:trPr>
        <w:tc>
          <w:tcPr>
            <w:tcW w:w="1140" w:type="dxa"/>
          </w:tcPr>
          <w:p w14:paraId="63BE402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33</w:t>
            </w:r>
          </w:p>
        </w:tc>
        <w:tc>
          <w:tcPr>
            <w:tcW w:w="6285" w:type="dxa"/>
          </w:tcPr>
          <w:p w14:paraId="14AFA043" w14:textId="77777777" w:rsidR="00E33534" w:rsidRPr="009F7F5C" w:rsidRDefault="00E33534" w:rsidP="00123122">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National Credit Union Administration</w:t>
            </w:r>
          </w:p>
        </w:tc>
        <w:tc>
          <w:tcPr>
            <w:tcW w:w="1950" w:type="dxa"/>
          </w:tcPr>
          <w:p w14:paraId="30A3F57F"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6F3E61ED" w14:textId="77777777" w:rsidTr="00851662">
        <w:trPr>
          <w:trHeight w:val="177"/>
          <w:jc w:val="center"/>
        </w:trPr>
        <w:tc>
          <w:tcPr>
            <w:tcW w:w="1140" w:type="dxa"/>
          </w:tcPr>
          <w:p w14:paraId="341AB86C"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34</w:t>
            </w:r>
          </w:p>
        </w:tc>
        <w:tc>
          <w:tcPr>
            <w:tcW w:w="6285" w:type="dxa"/>
          </w:tcPr>
          <w:p w14:paraId="0021D8C3"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Overseas Private Investment Corporation</w:t>
            </w:r>
          </w:p>
        </w:tc>
        <w:tc>
          <w:tcPr>
            <w:tcW w:w="1950" w:type="dxa"/>
          </w:tcPr>
          <w:p w14:paraId="2D8555EE"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E33534" w14:paraId="5263B2C7" w14:textId="77777777" w:rsidTr="00851662">
        <w:trPr>
          <w:trHeight w:val="225"/>
          <w:jc w:val="center"/>
        </w:trPr>
        <w:tc>
          <w:tcPr>
            <w:tcW w:w="1140" w:type="dxa"/>
          </w:tcPr>
          <w:p w14:paraId="473FC0DA"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35</w:t>
            </w:r>
          </w:p>
        </w:tc>
        <w:tc>
          <w:tcPr>
            <w:tcW w:w="6285" w:type="dxa"/>
          </w:tcPr>
          <w:p w14:paraId="73D6397E"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Peace Corps</w:t>
            </w:r>
          </w:p>
        </w:tc>
        <w:tc>
          <w:tcPr>
            <w:tcW w:w="1950" w:type="dxa"/>
          </w:tcPr>
          <w:p w14:paraId="7C688FDB"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E33534" w14:paraId="1654CE8B" w14:textId="77777777" w:rsidTr="00851662">
        <w:trPr>
          <w:jc w:val="center"/>
        </w:trPr>
        <w:tc>
          <w:tcPr>
            <w:tcW w:w="1140" w:type="dxa"/>
          </w:tcPr>
          <w:p w14:paraId="55CE5DA0"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36</w:t>
            </w:r>
          </w:p>
        </w:tc>
        <w:tc>
          <w:tcPr>
            <w:tcW w:w="6285" w:type="dxa"/>
          </w:tcPr>
          <w:p w14:paraId="68EA9B17"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Pretrial Services Agency for the District of Columbia</w:t>
            </w:r>
          </w:p>
        </w:tc>
        <w:tc>
          <w:tcPr>
            <w:tcW w:w="1950" w:type="dxa"/>
          </w:tcPr>
          <w:p w14:paraId="0B4CA4A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65914881" w14:textId="77777777" w:rsidTr="00851662">
        <w:trPr>
          <w:trHeight w:val="195"/>
          <w:jc w:val="center"/>
        </w:trPr>
        <w:tc>
          <w:tcPr>
            <w:tcW w:w="1140" w:type="dxa"/>
          </w:tcPr>
          <w:p w14:paraId="4E846F5B"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37</w:t>
            </w:r>
          </w:p>
        </w:tc>
        <w:tc>
          <w:tcPr>
            <w:tcW w:w="6285" w:type="dxa"/>
          </w:tcPr>
          <w:p w14:paraId="49B0CD20"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Securities and Exchange Commission</w:t>
            </w:r>
          </w:p>
        </w:tc>
        <w:tc>
          <w:tcPr>
            <w:tcW w:w="1950" w:type="dxa"/>
          </w:tcPr>
          <w:p w14:paraId="1EBA2104"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07807012" w14:textId="77777777" w:rsidTr="00851662">
        <w:trPr>
          <w:jc w:val="center"/>
        </w:trPr>
        <w:tc>
          <w:tcPr>
            <w:tcW w:w="1140" w:type="dxa"/>
          </w:tcPr>
          <w:p w14:paraId="11976398"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38</w:t>
            </w:r>
          </w:p>
        </w:tc>
        <w:tc>
          <w:tcPr>
            <w:tcW w:w="6285" w:type="dxa"/>
          </w:tcPr>
          <w:p w14:paraId="77D472D1"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Smithsonian Institution</w:t>
            </w:r>
          </w:p>
        </w:tc>
        <w:tc>
          <w:tcPr>
            <w:tcW w:w="1950" w:type="dxa"/>
          </w:tcPr>
          <w:p w14:paraId="2C45A966"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2244DC77" w14:textId="77777777" w:rsidTr="00851662">
        <w:trPr>
          <w:trHeight w:val="282"/>
          <w:jc w:val="center"/>
        </w:trPr>
        <w:tc>
          <w:tcPr>
            <w:tcW w:w="1140" w:type="dxa"/>
          </w:tcPr>
          <w:p w14:paraId="655816FD"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39</w:t>
            </w:r>
          </w:p>
        </w:tc>
        <w:tc>
          <w:tcPr>
            <w:tcW w:w="6285" w:type="dxa"/>
          </w:tcPr>
          <w:p w14:paraId="7F76C771"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Tennessee Valley Authority</w:t>
            </w:r>
          </w:p>
        </w:tc>
        <w:tc>
          <w:tcPr>
            <w:tcW w:w="1950" w:type="dxa"/>
          </w:tcPr>
          <w:p w14:paraId="0ACE2A99"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5C02AE79" w14:textId="77777777" w:rsidTr="00851662">
        <w:trPr>
          <w:jc w:val="center"/>
        </w:trPr>
        <w:tc>
          <w:tcPr>
            <w:tcW w:w="1140" w:type="dxa"/>
          </w:tcPr>
          <w:p w14:paraId="46CA9380"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lastRenderedPageBreak/>
              <w:t>40</w:t>
            </w:r>
          </w:p>
        </w:tc>
        <w:tc>
          <w:tcPr>
            <w:tcW w:w="6285" w:type="dxa"/>
          </w:tcPr>
          <w:p w14:paraId="64898045" w14:textId="77777777" w:rsidR="00E33534" w:rsidRPr="009F7F5C" w:rsidRDefault="00E33534" w:rsidP="00123122">
            <w:pPr>
              <w:spacing w:after="0" w:line="240" w:lineRule="auto"/>
              <w:ind w:left="0" w:firstLine="0"/>
              <w:rPr>
                <w:rFonts w:ascii="Calibri Light" w:eastAsia="Times New Roman" w:hAnsi="Calibri Light" w:cs="Calibri Light"/>
              </w:rPr>
            </w:pPr>
            <w:r w:rsidRPr="009F7F5C">
              <w:rPr>
                <w:rFonts w:ascii="Calibri Light" w:eastAsia="Times New Roman" w:hAnsi="Calibri Light" w:cs="Calibri Light"/>
              </w:rPr>
              <w:t>The Presidio Trust</w:t>
            </w:r>
          </w:p>
        </w:tc>
        <w:tc>
          <w:tcPr>
            <w:tcW w:w="1950" w:type="dxa"/>
          </w:tcPr>
          <w:p w14:paraId="0A0AD10E"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7C3D1A84" w14:textId="77777777" w:rsidTr="00851662">
        <w:trPr>
          <w:jc w:val="center"/>
        </w:trPr>
        <w:tc>
          <w:tcPr>
            <w:tcW w:w="1140" w:type="dxa"/>
          </w:tcPr>
          <w:p w14:paraId="6DEC2E1F"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41</w:t>
            </w:r>
          </w:p>
        </w:tc>
        <w:tc>
          <w:tcPr>
            <w:tcW w:w="6285" w:type="dxa"/>
          </w:tcPr>
          <w:p w14:paraId="18B2571F" w14:textId="77777777" w:rsidR="00E33534" w:rsidRPr="009F7F5C" w:rsidRDefault="00E33534" w:rsidP="00123122">
            <w:pPr>
              <w:spacing w:after="0" w:line="240" w:lineRule="auto"/>
              <w:ind w:left="0"/>
              <w:rPr>
                <w:rFonts w:ascii="Calibri Light" w:eastAsia="Times New Roman" w:hAnsi="Calibri Light" w:cs="Calibri Light"/>
              </w:rPr>
            </w:pPr>
            <w:r w:rsidRPr="009F7F5C">
              <w:rPr>
                <w:rFonts w:ascii="Calibri Light" w:eastAsia="Times New Roman" w:hAnsi="Calibri Light" w:cs="Calibri Light"/>
              </w:rPr>
              <w:t>United States Holocaust Memorial Museum</w:t>
            </w:r>
          </w:p>
        </w:tc>
        <w:tc>
          <w:tcPr>
            <w:tcW w:w="1950" w:type="dxa"/>
          </w:tcPr>
          <w:p w14:paraId="0CC4FD7B" w14:textId="77777777" w:rsidR="00E33534" w:rsidRPr="009F7F5C" w:rsidRDefault="00E33534" w:rsidP="00123122">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bl>
    <w:p w14:paraId="020C8627" w14:textId="744FFF76" w:rsidR="00E33534" w:rsidRDefault="00E33534">
      <w:pPr>
        <w:ind w:left="0" w:firstLine="0"/>
        <w:rPr>
          <w:rFonts w:ascii="Arial" w:eastAsia="Arial" w:hAnsi="Arial" w:cs="Arial"/>
          <w:sz w:val="20"/>
          <w:szCs w:val="20"/>
        </w:rPr>
        <w:sectPr w:rsidR="00E33534">
          <w:headerReference w:type="default" r:id="rId17"/>
          <w:pgSz w:w="12240" w:h="15840"/>
          <w:pgMar w:top="1440" w:right="1440" w:bottom="1440" w:left="1440" w:header="720" w:footer="720" w:gutter="0"/>
          <w:cols w:space="720"/>
        </w:sectPr>
      </w:pPr>
    </w:p>
    <w:p w14:paraId="35834496" w14:textId="6F8CE357" w:rsidR="00B34815" w:rsidRDefault="00E33534">
      <w:pPr>
        <w:widowControl w:val="0"/>
        <w:pBdr>
          <w:top w:val="nil"/>
          <w:left w:val="nil"/>
          <w:bottom w:val="nil"/>
          <w:right w:val="nil"/>
          <w:between w:val="nil"/>
        </w:pBdr>
        <w:spacing w:after="0" w:line="276" w:lineRule="auto"/>
        <w:ind w:left="0" w:firstLine="0"/>
        <w:rPr>
          <w:rFonts w:ascii="Arial" w:eastAsia="Arial" w:hAnsi="Arial" w:cs="Arial"/>
          <w:sz w:val="20"/>
          <w:szCs w:val="20"/>
        </w:rPr>
      </w:pPr>
      <w:r>
        <w:rPr>
          <w:color w:val="000000"/>
        </w:rPr>
        <w:lastRenderedPageBreak/>
        <w:t>Of those agencies that responded yes in Appendix B, Appendix C identifies those agencies that processed applications for permits during the reporting period.</w:t>
      </w:r>
    </w:p>
    <w:tbl>
      <w:tblPr>
        <w:tblStyle w:val="1"/>
        <w:tblpPr w:leftFromText="180" w:rightFromText="180" w:vertAnchor="text" w:horzAnchor="margin" w:tblpY="170"/>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15"/>
        <w:gridCol w:w="5355"/>
        <w:gridCol w:w="2095"/>
      </w:tblGrid>
      <w:tr w:rsidR="00E33534" w14:paraId="2F1CA04B" w14:textId="77777777" w:rsidTr="00851662">
        <w:trPr>
          <w:trHeight w:val="1080"/>
        </w:trPr>
        <w:tc>
          <w:tcPr>
            <w:tcW w:w="915" w:type="dxa"/>
            <w:shd w:val="clear" w:color="auto" w:fill="0070C0"/>
          </w:tcPr>
          <w:p w14:paraId="5201BA50" w14:textId="77777777" w:rsidR="00E33534" w:rsidRPr="006F6325" w:rsidRDefault="00E33534" w:rsidP="00E33534">
            <w:pPr>
              <w:spacing w:after="0" w:line="240" w:lineRule="auto"/>
              <w:ind w:left="0" w:hanging="2"/>
              <w:jc w:val="center"/>
              <w:rPr>
                <w:rFonts w:ascii="Calibri Light" w:eastAsia="Times New Roman" w:hAnsi="Calibri Light" w:cs="Calibri Light"/>
                <w:color w:val="000000" w:themeColor="text1"/>
                <w:sz w:val="24"/>
                <w:szCs w:val="24"/>
              </w:rPr>
            </w:pPr>
            <w:r w:rsidRPr="006F6325">
              <w:rPr>
                <w:rFonts w:ascii="Calibri Light" w:eastAsia="Times New Roman" w:hAnsi="Calibri Light" w:cs="Calibri Light"/>
                <w:b/>
                <w:color w:val="000000" w:themeColor="text1"/>
                <w:sz w:val="24"/>
                <w:szCs w:val="24"/>
              </w:rPr>
              <w:t xml:space="preserve">No. </w:t>
            </w:r>
          </w:p>
        </w:tc>
        <w:tc>
          <w:tcPr>
            <w:tcW w:w="5355" w:type="dxa"/>
            <w:shd w:val="clear" w:color="auto" w:fill="0070C0"/>
          </w:tcPr>
          <w:p w14:paraId="27556AED" w14:textId="77777777" w:rsidR="00E33534" w:rsidRPr="006F6325" w:rsidRDefault="00E33534" w:rsidP="00E33534">
            <w:pPr>
              <w:spacing w:after="0" w:line="240" w:lineRule="auto"/>
              <w:ind w:left="0" w:hanging="2"/>
              <w:jc w:val="center"/>
              <w:rPr>
                <w:rFonts w:ascii="Calibri Light" w:eastAsia="Times New Roman" w:hAnsi="Calibri Light" w:cs="Calibri Light"/>
                <w:color w:val="000000" w:themeColor="text1"/>
                <w:sz w:val="24"/>
                <w:szCs w:val="24"/>
              </w:rPr>
            </w:pPr>
            <w:r w:rsidRPr="006F6325">
              <w:rPr>
                <w:rFonts w:ascii="Calibri Light" w:eastAsia="Times New Roman" w:hAnsi="Calibri Light" w:cs="Calibri Light"/>
                <w:b/>
                <w:color w:val="000000" w:themeColor="text1"/>
                <w:sz w:val="24"/>
                <w:szCs w:val="24"/>
              </w:rPr>
              <w:t>Agency/Bureau</w:t>
            </w:r>
          </w:p>
        </w:tc>
        <w:tc>
          <w:tcPr>
            <w:tcW w:w="2095" w:type="dxa"/>
            <w:shd w:val="clear" w:color="auto" w:fill="0070C0"/>
          </w:tcPr>
          <w:p w14:paraId="12F3D41A" w14:textId="77777777" w:rsidR="00E33534" w:rsidRPr="006F6325" w:rsidRDefault="00E33534" w:rsidP="00E33534">
            <w:pPr>
              <w:spacing w:after="0" w:line="240" w:lineRule="auto"/>
              <w:ind w:left="0" w:hanging="2"/>
              <w:jc w:val="center"/>
              <w:rPr>
                <w:rFonts w:ascii="Calibri Light" w:eastAsia="Times New Roman" w:hAnsi="Calibri Light" w:cs="Calibri Light"/>
                <w:color w:val="000000" w:themeColor="text1"/>
                <w:sz w:val="24"/>
                <w:szCs w:val="24"/>
              </w:rPr>
            </w:pPr>
            <w:r w:rsidRPr="006F6325">
              <w:rPr>
                <w:rFonts w:ascii="Calibri Light" w:eastAsia="Times New Roman" w:hAnsi="Calibri Light" w:cs="Calibri Light"/>
                <w:b/>
                <w:color w:val="000000" w:themeColor="text1"/>
                <w:sz w:val="24"/>
                <w:szCs w:val="24"/>
              </w:rPr>
              <w:t>Processed Permit Applications</w:t>
            </w:r>
          </w:p>
        </w:tc>
      </w:tr>
      <w:tr w:rsidR="00E33534" w14:paraId="779EFAB6" w14:textId="77777777" w:rsidTr="00851662">
        <w:tc>
          <w:tcPr>
            <w:tcW w:w="915" w:type="dxa"/>
          </w:tcPr>
          <w:p w14:paraId="783E3595" w14:textId="77777777" w:rsidR="00E33534" w:rsidRPr="009F7F5C" w:rsidRDefault="00E33534" w:rsidP="00E33534">
            <w:pPr>
              <w:spacing w:after="0" w:line="240" w:lineRule="auto"/>
              <w:ind w:left="0" w:firstLine="0"/>
              <w:jc w:val="center"/>
              <w:rPr>
                <w:rFonts w:ascii="Calibri Light" w:eastAsia="Times New Roman" w:hAnsi="Calibri Light" w:cs="Calibri Light"/>
              </w:rPr>
            </w:pPr>
            <w:r w:rsidRPr="009F7F5C">
              <w:rPr>
                <w:rFonts w:ascii="Calibri Light" w:eastAsia="Times New Roman" w:hAnsi="Calibri Light" w:cs="Calibri Light"/>
              </w:rPr>
              <w:t>1</w:t>
            </w:r>
          </w:p>
        </w:tc>
        <w:tc>
          <w:tcPr>
            <w:tcW w:w="5355" w:type="dxa"/>
          </w:tcPr>
          <w:p w14:paraId="059A9B41"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Agency for Global Media</w:t>
            </w:r>
          </w:p>
        </w:tc>
        <w:tc>
          <w:tcPr>
            <w:tcW w:w="2095" w:type="dxa"/>
          </w:tcPr>
          <w:p w14:paraId="1742C57D"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1CE3E974" w14:textId="77777777" w:rsidTr="00851662">
        <w:tc>
          <w:tcPr>
            <w:tcW w:w="915" w:type="dxa"/>
          </w:tcPr>
          <w:p w14:paraId="29052210"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2</w:t>
            </w:r>
          </w:p>
        </w:tc>
        <w:tc>
          <w:tcPr>
            <w:tcW w:w="5355" w:type="dxa"/>
          </w:tcPr>
          <w:p w14:paraId="44F882B9"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Barry Goldwater Scholarship and Excellence in Education</w:t>
            </w:r>
          </w:p>
        </w:tc>
        <w:tc>
          <w:tcPr>
            <w:tcW w:w="2095" w:type="dxa"/>
          </w:tcPr>
          <w:p w14:paraId="0CBBD4EB"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2DE9EA2A" w14:textId="77777777" w:rsidTr="00851662">
        <w:tc>
          <w:tcPr>
            <w:tcW w:w="915" w:type="dxa"/>
          </w:tcPr>
          <w:p w14:paraId="6E7FD5D0"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3</w:t>
            </w:r>
          </w:p>
        </w:tc>
        <w:tc>
          <w:tcPr>
            <w:tcW w:w="5355" w:type="dxa"/>
          </w:tcPr>
          <w:p w14:paraId="393A8220"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Chemical Safety and Hazard Investigation Board</w:t>
            </w:r>
          </w:p>
        </w:tc>
        <w:tc>
          <w:tcPr>
            <w:tcW w:w="2095" w:type="dxa"/>
          </w:tcPr>
          <w:p w14:paraId="149EDF51"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29A1CB5D" w14:textId="77777777" w:rsidTr="00851662">
        <w:tc>
          <w:tcPr>
            <w:tcW w:w="915" w:type="dxa"/>
          </w:tcPr>
          <w:p w14:paraId="01C90888"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4</w:t>
            </w:r>
          </w:p>
        </w:tc>
        <w:tc>
          <w:tcPr>
            <w:tcW w:w="5355" w:type="dxa"/>
          </w:tcPr>
          <w:p w14:paraId="1858F086"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Commodity Futures Trading Commission</w:t>
            </w:r>
          </w:p>
        </w:tc>
        <w:tc>
          <w:tcPr>
            <w:tcW w:w="2095" w:type="dxa"/>
          </w:tcPr>
          <w:p w14:paraId="270FF11E"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71E7C71C" w14:textId="77777777" w:rsidTr="00851662">
        <w:tc>
          <w:tcPr>
            <w:tcW w:w="915" w:type="dxa"/>
          </w:tcPr>
          <w:p w14:paraId="3F0382DB"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5</w:t>
            </w:r>
          </w:p>
        </w:tc>
        <w:tc>
          <w:tcPr>
            <w:tcW w:w="5355" w:type="dxa"/>
          </w:tcPr>
          <w:p w14:paraId="04BFDDC2"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Agriculture, US Forest Service</w:t>
            </w:r>
          </w:p>
        </w:tc>
        <w:tc>
          <w:tcPr>
            <w:tcW w:w="2095" w:type="dxa"/>
          </w:tcPr>
          <w:p w14:paraId="4FAB18EB"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539933C" w14:textId="77777777" w:rsidTr="00851662">
        <w:tc>
          <w:tcPr>
            <w:tcW w:w="915" w:type="dxa"/>
          </w:tcPr>
          <w:p w14:paraId="63CE71E9"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6</w:t>
            </w:r>
          </w:p>
        </w:tc>
        <w:tc>
          <w:tcPr>
            <w:tcW w:w="5355" w:type="dxa"/>
          </w:tcPr>
          <w:p w14:paraId="01F4D17D"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Commerce</w:t>
            </w:r>
          </w:p>
        </w:tc>
        <w:tc>
          <w:tcPr>
            <w:tcW w:w="2095" w:type="dxa"/>
          </w:tcPr>
          <w:p w14:paraId="281553B8"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60E06B9A" w14:textId="77777777" w:rsidTr="00851662">
        <w:tc>
          <w:tcPr>
            <w:tcW w:w="915" w:type="dxa"/>
          </w:tcPr>
          <w:p w14:paraId="1CD24A07"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7</w:t>
            </w:r>
          </w:p>
        </w:tc>
        <w:tc>
          <w:tcPr>
            <w:tcW w:w="5355" w:type="dxa"/>
          </w:tcPr>
          <w:p w14:paraId="4A6EB13B"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Energy</w:t>
            </w:r>
          </w:p>
        </w:tc>
        <w:tc>
          <w:tcPr>
            <w:tcW w:w="2095" w:type="dxa"/>
          </w:tcPr>
          <w:p w14:paraId="1391F13D"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16524A17" w14:textId="77777777" w:rsidTr="00851662">
        <w:tc>
          <w:tcPr>
            <w:tcW w:w="915" w:type="dxa"/>
          </w:tcPr>
          <w:p w14:paraId="1C8CE6DD"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8</w:t>
            </w:r>
          </w:p>
        </w:tc>
        <w:tc>
          <w:tcPr>
            <w:tcW w:w="5355" w:type="dxa"/>
          </w:tcPr>
          <w:p w14:paraId="64815FAF"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Air Force</w:t>
            </w:r>
          </w:p>
        </w:tc>
        <w:tc>
          <w:tcPr>
            <w:tcW w:w="2095" w:type="dxa"/>
          </w:tcPr>
          <w:p w14:paraId="5240ADA4" w14:textId="48E39E61" w:rsidR="00E33534" w:rsidRPr="009F7F5C" w:rsidRDefault="00FF1B95" w:rsidP="00E33534">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E33534" w14:paraId="4383D1E0" w14:textId="77777777" w:rsidTr="00851662">
        <w:tc>
          <w:tcPr>
            <w:tcW w:w="915" w:type="dxa"/>
          </w:tcPr>
          <w:p w14:paraId="6DF12234"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9</w:t>
            </w:r>
          </w:p>
        </w:tc>
        <w:tc>
          <w:tcPr>
            <w:tcW w:w="5355" w:type="dxa"/>
          </w:tcPr>
          <w:p w14:paraId="56BA1A87"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Army</w:t>
            </w:r>
          </w:p>
        </w:tc>
        <w:tc>
          <w:tcPr>
            <w:tcW w:w="2095" w:type="dxa"/>
          </w:tcPr>
          <w:p w14:paraId="3C988DC7"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E33534" w14:paraId="0DFAD7A1" w14:textId="77777777" w:rsidTr="00851662">
        <w:tc>
          <w:tcPr>
            <w:tcW w:w="915" w:type="dxa"/>
          </w:tcPr>
          <w:p w14:paraId="33175C43"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10</w:t>
            </w:r>
          </w:p>
        </w:tc>
        <w:tc>
          <w:tcPr>
            <w:tcW w:w="5355" w:type="dxa"/>
          </w:tcPr>
          <w:p w14:paraId="223B40AC" w14:textId="77777777" w:rsidR="00E33534" w:rsidRPr="009F7F5C" w:rsidRDefault="00E33534" w:rsidP="00E33534">
            <w:pPr>
              <w:spacing w:after="0" w:line="240" w:lineRule="auto"/>
              <w:ind w:left="0" w:hanging="2"/>
              <w:rPr>
                <w:rFonts w:ascii="Calibri Light" w:eastAsia="Times New Roman" w:hAnsi="Calibri Light" w:cs="Calibri Light"/>
              </w:rPr>
            </w:pPr>
            <w:r>
              <w:rPr>
                <w:rFonts w:ascii="Calibri Light" w:eastAsia="Times New Roman" w:hAnsi="Calibri Light" w:cs="Calibri Light"/>
              </w:rPr>
              <w:t>Department of Homeland Security</w:t>
            </w:r>
          </w:p>
        </w:tc>
        <w:tc>
          <w:tcPr>
            <w:tcW w:w="2095" w:type="dxa"/>
          </w:tcPr>
          <w:p w14:paraId="562CC127"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No</w:t>
            </w:r>
          </w:p>
        </w:tc>
      </w:tr>
      <w:tr w:rsidR="00E33534" w14:paraId="7EE1DCC3" w14:textId="77777777" w:rsidTr="00851662">
        <w:tc>
          <w:tcPr>
            <w:tcW w:w="915" w:type="dxa"/>
          </w:tcPr>
          <w:p w14:paraId="6B2EE286"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11</w:t>
            </w:r>
          </w:p>
        </w:tc>
        <w:tc>
          <w:tcPr>
            <w:tcW w:w="5355" w:type="dxa"/>
          </w:tcPr>
          <w:p w14:paraId="00B520E0"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Interior, Bureau of Land Management</w:t>
            </w:r>
          </w:p>
        </w:tc>
        <w:tc>
          <w:tcPr>
            <w:tcW w:w="2095" w:type="dxa"/>
          </w:tcPr>
          <w:p w14:paraId="3FBADDF5"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5406A23C" w14:textId="77777777" w:rsidTr="00851662">
        <w:tc>
          <w:tcPr>
            <w:tcW w:w="915" w:type="dxa"/>
          </w:tcPr>
          <w:p w14:paraId="39DF2B90"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12</w:t>
            </w:r>
          </w:p>
        </w:tc>
        <w:tc>
          <w:tcPr>
            <w:tcW w:w="5355" w:type="dxa"/>
          </w:tcPr>
          <w:p w14:paraId="4196FD91"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Interior, Bureau of Reclamation</w:t>
            </w:r>
          </w:p>
        </w:tc>
        <w:tc>
          <w:tcPr>
            <w:tcW w:w="2095" w:type="dxa"/>
          </w:tcPr>
          <w:p w14:paraId="588A7DBD"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E33534" w14:paraId="36A9E114" w14:textId="77777777" w:rsidTr="00851662">
        <w:tc>
          <w:tcPr>
            <w:tcW w:w="915" w:type="dxa"/>
          </w:tcPr>
          <w:p w14:paraId="1D8ACB30"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13</w:t>
            </w:r>
          </w:p>
        </w:tc>
        <w:tc>
          <w:tcPr>
            <w:tcW w:w="5355" w:type="dxa"/>
          </w:tcPr>
          <w:p w14:paraId="70A1BFC9" w14:textId="77777777" w:rsidR="00E33534" w:rsidRPr="009F7F5C" w:rsidRDefault="00E33534" w:rsidP="00E33534">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Interior, National Park Service</w:t>
            </w:r>
          </w:p>
        </w:tc>
        <w:tc>
          <w:tcPr>
            <w:tcW w:w="2095" w:type="dxa"/>
          </w:tcPr>
          <w:p w14:paraId="08476993" w14:textId="77777777" w:rsidR="00E33534" w:rsidRPr="009F7F5C" w:rsidRDefault="00E33534" w:rsidP="00E33534">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Yes</w:t>
            </w:r>
          </w:p>
        </w:tc>
      </w:tr>
      <w:tr w:rsidR="001840E7" w14:paraId="1CBE5979" w14:textId="77777777" w:rsidTr="00851662">
        <w:tc>
          <w:tcPr>
            <w:tcW w:w="915" w:type="dxa"/>
          </w:tcPr>
          <w:p w14:paraId="49D9BB9B" w14:textId="0153F5BF" w:rsidR="001840E7" w:rsidRDefault="001840E7" w:rsidP="001840E7">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14</w:t>
            </w:r>
          </w:p>
        </w:tc>
        <w:tc>
          <w:tcPr>
            <w:tcW w:w="5355" w:type="dxa"/>
          </w:tcPr>
          <w:p w14:paraId="40FF1521" w14:textId="049A3132" w:rsidR="001840E7" w:rsidRPr="009F7F5C" w:rsidRDefault="001840E7" w:rsidP="001840E7">
            <w:pPr>
              <w:spacing w:after="0" w:line="240" w:lineRule="auto"/>
              <w:ind w:left="0" w:hanging="2"/>
              <w:rPr>
                <w:rFonts w:ascii="Calibri Light" w:eastAsia="Times New Roman" w:hAnsi="Calibri Light" w:cs="Calibri Light"/>
              </w:rPr>
            </w:pPr>
            <w:r>
              <w:rPr>
                <w:rFonts w:ascii="Calibri Light" w:eastAsia="Times New Roman" w:hAnsi="Calibri Light" w:cs="Calibri Light"/>
              </w:rPr>
              <w:t>Department of Labor</w:t>
            </w:r>
          </w:p>
        </w:tc>
        <w:tc>
          <w:tcPr>
            <w:tcW w:w="2095" w:type="dxa"/>
          </w:tcPr>
          <w:p w14:paraId="14DA7B71" w14:textId="1BA8FE17" w:rsidR="001840E7" w:rsidRPr="009F7F5C" w:rsidRDefault="001840E7" w:rsidP="001840E7">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No</w:t>
            </w:r>
          </w:p>
        </w:tc>
      </w:tr>
      <w:tr w:rsidR="001840E7" w14:paraId="08C5124C" w14:textId="77777777" w:rsidTr="00851662">
        <w:tc>
          <w:tcPr>
            <w:tcW w:w="915" w:type="dxa"/>
          </w:tcPr>
          <w:p w14:paraId="2E2C8A58" w14:textId="0D07475A" w:rsidR="001840E7" w:rsidRPr="009F7F5C" w:rsidRDefault="001840E7" w:rsidP="001840E7">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15</w:t>
            </w:r>
          </w:p>
        </w:tc>
        <w:tc>
          <w:tcPr>
            <w:tcW w:w="5355" w:type="dxa"/>
          </w:tcPr>
          <w:p w14:paraId="7DC40FC8"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the Navy</w:t>
            </w:r>
          </w:p>
        </w:tc>
        <w:tc>
          <w:tcPr>
            <w:tcW w:w="2095" w:type="dxa"/>
          </w:tcPr>
          <w:p w14:paraId="659E663D"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No</w:t>
            </w:r>
          </w:p>
        </w:tc>
      </w:tr>
      <w:tr w:rsidR="001840E7" w14:paraId="3DCDC5B2" w14:textId="77777777" w:rsidTr="00851662">
        <w:tc>
          <w:tcPr>
            <w:tcW w:w="915" w:type="dxa"/>
          </w:tcPr>
          <w:p w14:paraId="0B5BA2D0" w14:textId="6B490C8E"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16</w:t>
            </w:r>
          </w:p>
        </w:tc>
        <w:tc>
          <w:tcPr>
            <w:tcW w:w="5355" w:type="dxa"/>
          </w:tcPr>
          <w:p w14:paraId="5581B7B0"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Transportation</w:t>
            </w:r>
          </w:p>
        </w:tc>
        <w:tc>
          <w:tcPr>
            <w:tcW w:w="2095" w:type="dxa"/>
          </w:tcPr>
          <w:p w14:paraId="6C70C8A1"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61DF07A5" w14:textId="77777777" w:rsidTr="00851662">
        <w:tc>
          <w:tcPr>
            <w:tcW w:w="915" w:type="dxa"/>
          </w:tcPr>
          <w:p w14:paraId="1A260539" w14:textId="6C738627"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17</w:t>
            </w:r>
          </w:p>
        </w:tc>
        <w:tc>
          <w:tcPr>
            <w:tcW w:w="5355" w:type="dxa"/>
          </w:tcPr>
          <w:p w14:paraId="3FA32117"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Department of Veterans Affairs</w:t>
            </w:r>
          </w:p>
        </w:tc>
        <w:tc>
          <w:tcPr>
            <w:tcW w:w="2095" w:type="dxa"/>
          </w:tcPr>
          <w:p w14:paraId="703950D6"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1EE018C1" w14:textId="77777777" w:rsidTr="00851662">
        <w:tc>
          <w:tcPr>
            <w:tcW w:w="915" w:type="dxa"/>
          </w:tcPr>
          <w:p w14:paraId="44351FFB" w14:textId="26EE713E"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18</w:t>
            </w:r>
          </w:p>
        </w:tc>
        <w:tc>
          <w:tcPr>
            <w:tcW w:w="5355" w:type="dxa"/>
          </w:tcPr>
          <w:p w14:paraId="4518AE42"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Export-Import Bank</w:t>
            </w:r>
          </w:p>
        </w:tc>
        <w:tc>
          <w:tcPr>
            <w:tcW w:w="2095" w:type="dxa"/>
          </w:tcPr>
          <w:p w14:paraId="5EE1FE27"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73C63A94" w14:textId="77777777" w:rsidTr="00851662">
        <w:tc>
          <w:tcPr>
            <w:tcW w:w="915" w:type="dxa"/>
          </w:tcPr>
          <w:p w14:paraId="16225DE3" w14:textId="247B20BB"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19</w:t>
            </w:r>
          </w:p>
        </w:tc>
        <w:tc>
          <w:tcPr>
            <w:tcW w:w="5355" w:type="dxa"/>
          </w:tcPr>
          <w:p w14:paraId="3F7882AA"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Farm Credit System Insurance Corporation</w:t>
            </w:r>
          </w:p>
        </w:tc>
        <w:tc>
          <w:tcPr>
            <w:tcW w:w="2095" w:type="dxa"/>
          </w:tcPr>
          <w:p w14:paraId="0D398C40"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4DB41D39" w14:textId="77777777" w:rsidTr="00851662">
        <w:tc>
          <w:tcPr>
            <w:tcW w:w="915" w:type="dxa"/>
          </w:tcPr>
          <w:p w14:paraId="16C23CF9" w14:textId="22A36B2B"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20</w:t>
            </w:r>
          </w:p>
        </w:tc>
        <w:tc>
          <w:tcPr>
            <w:tcW w:w="5355" w:type="dxa"/>
          </w:tcPr>
          <w:p w14:paraId="34A9E404"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Federal Communications Commission</w:t>
            </w:r>
          </w:p>
        </w:tc>
        <w:tc>
          <w:tcPr>
            <w:tcW w:w="2095" w:type="dxa"/>
          </w:tcPr>
          <w:p w14:paraId="749D32D5"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218B002F" w14:textId="77777777" w:rsidTr="00851662">
        <w:tc>
          <w:tcPr>
            <w:tcW w:w="915" w:type="dxa"/>
          </w:tcPr>
          <w:p w14:paraId="11D1F9B0" w14:textId="7253242A"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21</w:t>
            </w:r>
          </w:p>
        </w:tc>
        <w:tc>
          <w:tcPr>
            <w:tcW w:w="5355" w:type="dxa"/>
          </w:tcPr>
          <w:p w14:paraId="3F649095"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Federal Housing Finance Agency</w:t>
            </w:r>
          </w:p>
        </w:tc>
        <w:tc>
          <w:tcPr>
            <w:tcW w:w="2095" w:type="dxa"/>
          </w:tcPr>
          <w:p w14:paraId="100B6E16"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4A624B6F" w14:textId="77777777" w:rsidTr="00851662">
        <w:tc>
          <w:tcPr>
            <w:tcW w:w="915" w:type="dxa"/>
          </w:tcPr>
          <w:p w14:paraId="6C92DBC5" w14:textId="7A9F4D66"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22</w:t>
            </w:r>
          </w:p>
        </w:tc>
        <w:tc>
          <w:tcPr>
            <w:tcW w:w="5355" w:type="dxa"/>
          </w:tcPr>
          <w:p w14:paraId="59060675"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Federal Retirement Thrift Investment Board</w:t>
            </w:r>
          </w:p>
        </w:tc>
        <w:tc>
          <w:tcPr>
            <w:tcW w:w="2095" w:type="dxa"/>
          </w:tcPr>
          <w:p w14:paraId="573293F0"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4028C1FC" w14:textId="77777777" w:rsidTr="00851662">
        <w:tc>
          <w:tcPr>
            <w:tcW w:w="915" w:type="dxa"/>
          </w:tcPr>
          <w:p w14:paraId="37F4B4B8" w14:textId="4C6942DB"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23</w:t>
            </w:r>
          </w:p>
        </w:tc>
        <w:tc>
          <w:tcPr>
            <w:tcW w:w="5355" w:type="dxa"/>
          </w:tcPr>
          <w:p w14:paraId="41C5D70D"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General Services Administration</w:t>
            </w:r>
          </w:p>
        </w:tc>
        <w:tc>
          <w:tcPr>
            <w:tcW w:w="2095" w:type="dxa"/>
          </w:tcPr>
          <w:p w14:paraId="5DD7F040"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Pr>
                <w:rFonts w:ascii="Calibri Light" w:eastAsia="Times New Roman" w:hAnsi="Calibri Light" w:cs="Calibri Light"/>
              </w:rPr>
              <w:t>Yes</w:t>
            </w:r>
          </w:p>
        </w:tc>
      </w:tr>
      <w:tr w:rsidR="001840E7" w14:paraId="0E81668B" w14:textId="77777777" w:rsidTr="00851662">
        <w:tc>
          <w:tcPr>
            <w:tcW w:w="915" w:type="dxa"/>
          </w:tcPr>
          <w:p w14:paraId="76A6A840" w14:textId="7D36AEAF"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24</w:t>
            </w:r>
          </w:p>
        </w:tc>
        <w:tc>
          <w:tcPr>
            <w:tcW w:w="5355" w:type="dxa"/>
          </w:tcPr>
          <w:p w14:paraId="729198EE"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John F. Kennedy Center of the Performing Arts</w:t>
            </w:r>
          </w:p>
        </w:tc>
        <w:tc>
          <w:tcPr>
            <w:tcW w:w="2095" w:type="dxa"/>
          </w:tcPr>
          <w:p w14:paraId="56A4E210"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27716482" w14:textId="77777777" w:rsidTr="00851662">
        <w:tc>
          <w:tcPr>
            <w:tcW w:w="915" w:type="dxa"/>
          </w:tcPr>
          <w:p w14:paraId="15479719" w14:textId="35D87BB1"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25</w:t>
            </w:r>
          </w:p>
        </w:tc>
        <w:tc>
          <w:tcPr>
            <w:tcW w:w="5355" w:type="dxa"/>
          </w:tcPr>
          <w:p w14:paraId="767C6130"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Merit Systems Protection Board</w:t>
            </w:r>
          </w:p>
        </w:tc>
        <w:tc>
          <w:tcPr>
            <w:tcW w:w="2095" w:type="dxa"/>
          </w:tcPr>
          <w:p w14:paraId="1CA956BD"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738273AD" w14:textId="77777777" w:rsidTr="00851662">
        <w:tc>
          <w:tcPr>
            <w:tcW w:w="915" w:type="dxa"/>
          </w:tcPr>
          <w:p w14:paraId="44298C85" w14:textId="60C790DE" w:rsidR="001840E7" w:rsidRPr="009F7F5C" w:rsidRDefault="001840E7" w:rsidP="001840E7">
            <w:pPr>
              <w:spacing w:after="0" w:line="240" w:lineRule="auto"/>
              <w:ind w:left="0"/>
              <w:rPr>
                <w:rFonts w:ascii="Calibri Light" w:eastAsia="Times New Roman" w:hAnsi="Calibri Light" w:cs="Calibri Light"/>
              </w:rPr>
            </w:pPr>
            <w:r>
              <w:rPr>
                <w:rFonts w:ascii="Calibri Light" w:eastAsia="Times New Roman" w:hAnsi="Calibri Light" w:cs="Calibri Light"/>
              </w:rPr>
              <w:t xml:space="preserve">    26</w:t>
            </w:r>
          </w:p>
        </w:tc>
        <w:tc>
          <w:tcPr>
            <w:tcW w:w="5355" w:type="dxa"/>
          </w:tcPr>
          <w:p w14:paraId="09009420"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 xml:space="preserve">Millennium Challenge Corporation </w:t>
            </w:r>
          </w:p>
        </w:tc>
        <w:tc>
          <w:tcPr>
            <w:tcW w:w="2095" w:type="dxa"/>
          </w:tcPr>
          <w:p w14:paraId="763F3FE0"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49488910" w14:textId="77777777" w:rsidTr="00851662">
        <w:trPr>
          <w:trHeight w:val="480"/>
        </w:trPr>
        <w:tc>
          <w:tcPr>
            <w:tcW w:w="915" w:type="dxa"/>
          </w:tcPr>
          <w:p w14:paraId="6E9CA510" w14:textId="4A49393B" w:rsidR="001840E7" w:rsidRPr="009F7F5C" w:rsidRDefault="001840E7" w:rsidP="001840E7">
            <w:pPr>
              <w:spacing w:after="0" w:line="240" w:lineRule="auto"/>
              <w:ind w:left="0" w:firstLine="0"/>
              <w:rPr>
                <w:rFonts w:ascii="Calibri Light" w:eastAsia="Times New Roman" w:hAnsi="Calibri Light" w:cs="Calibri Light"/>
              </w:rPr>
            </w:pPr>
            <w:r>
              <w:rPr>
                <w:rFonts w:ascii="Calibri Light" w:eastAsia="Times New Roman" w:hAnsi="Calibri Light" w:cs="Calibri Light"/>
              </w:rPr>
              <w:t xml:space="preserve">    27</w:t>
            </w:r>
          </w:p>
        </w:tc>
        <w:tc>
          <w:tcPr>
            <w:tcW w:w="5355" w:type="dxa"/>
          </w:tcPr>
          <w:p w14:paraId="0A754257"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Morris K. Udall Scholarship and Excellence in National Environmental Policy Foundation</w:t>
            </w:r>
          </w:p>
        </w:tc>
        <w:tc>
          <w:tcPr>
            <w:tcW w:w="2095" w:type="dxa"/>
          </w:tcPr>
          <w:p w14:paraId="4F7EA9E5" w14:textId="52E7CC24" w:rsidR="001840E7" w:rsidRPr="009F7F5C" w:rsidRDefault="001840E7" w:rsidP="001840E7">
            <w:pPr>
              <w:spacing w:after="0" w:line="240" w:lineRule="auto"/>
              <w:ind w:left="0" w:firstLine="0"/>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0316DFEB" w14:textId="77777777" w:rsidTr="00851662">
        <w:tc>
          <w:tcPr>
            <w:tcW w:w="915" w:type="dxa"/>
          </w:tcPr>
          <w:p w14:paraId="7EBF009A" w14:textId="58B28682"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28</w:t>
            </w:r>
          </w:p>
        </w:tc>
        <w:tc>
          <w:tcPr>
            <w:tcW w:w="5355" w:type="dxa"/>
          </w:tcPr>
          <w:p w14:paraId="00871354"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National Aeronautics and Space Administration</w:t>
            </w:r>
          </w:p>
        </w:tc>
        <w:tc>
          <w:tcPr>
            <w:tcW w:w="2095" w:type="dxa"/>
          </w:tcPr>
          <w:p w14:paraId="58FD28E6"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6B4B0593" w14:textId="77777777" w:rsidTr="00851662">
        <w:tc>
          <w:tcPr>
            <w:tcW w:w="915" w:type="dxa"/>
          </w:tcPr>
          <w:p w14:paraId="1F98E994" w14:textId="53DF053D"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29</w:t>
            </w:r>
          </w:p>
        </w:tc>
        <w:tc>
          <w:tcPr>
            <w:tcW w:w="5355" w:type="dxa"/>
          </w:tcPr>
          <w:p w14:paraId="484596E1"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National Archives and Records Administration</w:t>
            </w:r>
          </w:p>
        </w:tc>
        <w:tc>
          <w:tcPr>
            <w:tcW w:w="2095" w:type="dxa"/>
          </w:tcPr>
          <w:p w14:paraId="30BA047D"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5ACCCCC2" w14:textId="77777777" w:rsidTr="00851662">
        <w:tc>
          <w:tcPr>
            <w:tcW w:w="915" w:type="dxa"/>
          </w:tcPr>
          <w:p w14:paraId="3821D442" w14:textId="2DD8D119"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30</w:t>
            </w:r>
          </w:p>
        </w:tc>
        <w:tc>
          <w:tcPr>
            <w:tcW w:w="5355" w:type="dxa"/>
          </w:tcPr>
          <w:p w14:paraId="04D8CB8F"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Peace Corps</w:t>
            </w:r>
          </w:p>
        </w:tc>
        <w:tc>
          <w:tcPr>
            <w:tcW w:w="2095" w:type="dxa"/>
          </w:tcPr>
          <w:p w14:paraId="0C05EFCA"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0099399C" w14:textId="77777777" w:rsidTr="00851662">
        <w:tc>
          <w:tcPr>
            <w:tcW w:w="915" w:type="dxa"/>
          </w:tcPr>
          <w:p w14:paraId="7DD8070A" w14:textId="71DA810C"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31</w:t>
            </w:r>
          </w:p>
        </w:tc>
        <w:tc>
          <w:tcPr>
            <w:tcW w:w="5355" w:type="dxa"/>
          </w:tcPr>
          <w:p w14:paraId="6392FF4B"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Pretrial Services Agency for the District of Columbia</w:t>
            </w:r>
          </w:p>
        </w:tc>
        <w:tc>
          <w:tcPr>
            <w:tcW w:w="2095" w:type="dxa"/>
          </w:tcPr>
          <w:p w14:paraId="1958D968"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46CEDE86" w14:textId="77777777" w:rsidTr="00851662">
        <w:tc>
          <w:tcPr>
            <w:tcW w:w="915" w:type="dxa"/>
          </w:tcPr>
          <w:p w14:paraId="1143CC73" w14:textId="6695A8CF" w:rsidR="001840E7" w:rsidRPr="009F7F5C" w:rsidRDefault="001840E7" w:rsidP="001840E7">
            <w:pPr>
              <w:spacing w:after="0" w:line="240" w:lineRule="auto"/>
              <w:ind w:left="0"/>
              <w:jc w:val="center"/>
              <w:rPr>
                <w:rFonts w:ascii="Calibri Light" w:eastAsia="Times New Roman" w:hAnsi="Calibri Light" w:cs="Calibri Light"/>
              </w:rPr>
            </w:pPr>
            <w:r>
              <w:rPr>
                <w:rFonts w:ascii="Calibri Light" w:eastAsia="Times New Roman" w:hAnsi="Calibri Light" w:cs="Calibri Light"/>
              </w:rPr>
              <w:t>32</w:t>
            </w:r>
          </w:p>
        </w:tc>
        <w:tc>
          <w:tcPr>
            <w:tcW w:w="5355" w:type="dxa"/>
          </w:tcPr>
          <w:p w14:paraId="710702C9"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Securities and Exchange Commission</w:t>
            </w:r>
          </w:p>
        </w:tc>
        <w:tc>
          <w:tcPr>
            <w:tcW w:w="2095" w:type="dxa"/>
          </w:tcPr>
          <w:p w14:paraId="3502C867"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r w:rsidR="001840E7" w14:paraId="32868155" w14:textId="77777777" w:rsidTr="00851662">
        <w:tc>
          <w:tcPr>
            <w:tcW w:w="915" w:type="dxa"/>
          </w:tcPr>
          <w:p w14:paraId="093BA2FC" w14:textId="5B7B624D" w:rsidR="001840E7" w:rsidRPr="009F7F5C" w:rsidRDefault="001840E7" w:rsidP="001840E7">
            <w:pPr>
              <w:spacing w:after="0" w:line="240" w:lineRule="auto"/>
              <w:ind w:left="0"/>
              <w:rPr>
                <w:rFonts w:ascii="Calibri Light" w:eastAsia="Times New Roman" w:hAnsi="Calibri Light" w:cs="Calibri Light"/>
              </w:rPr>
            </w:pPr>
            <w:r>
              <w:rPr>
                <w:rFonts w:ascii="Calibri Light" w:eastAsia="Times New Roman" w:hAnsi="Calibri Light" w:cs="Calibri Light"/>
              </w:rPr>
              <w:t xml:space="preserve">     33</w:t>
            </w:r>
          </w:p>
        </w:tc>
        <w:tc>
          <w:tcPr>
            <w:tcW w:w="5355" w:type="dxa"/>
          </w:tcPr>
          <w:p w14:paraId="4FE84B07" w14:textId="77777777" w:rsidR="001840E7" w:rsidRPr="009F7F5C" w:rsidRDefault="001840E7" w:rsidP="001840E7">
            <w:pPr>
              <w:spacing w:after="0" w:line="240" w:lineRule="auto"/>
              <w:ind w:left="0" w:hanging="2"/>
              <w:rPr>
                <w:rFonts w:ascii="Calibri Light" w:eastAsia="Times New Roman" w:hAnsi="Calibri Light" w:cs="Calibri Light"/>
              </w:rPr>
            </w:pPr>
            <w:r w:rsidRPr="009F7F5C">
              <w:rPr>
                <w:rFonts w:ascii="Calibri Light" w:eastAsia="Times New Roman" w:hAnsi="Calibri Light" w:cs="Calibri Light"/>
              </w:rPr>
              <w:t xml:space="preserve">United States Holocaust Memorial Museum </w:t>
            </w:r>
          </w:p>
        </w:tc>
        <w:tc>
          <w:tcPr>
            <w:tcW w:w="2095" w:type="dxa"/>
          </w:tcPr>
          <w:p w14:paraId="1D932F33" w14:textId="77777777" w:rsidR="001840E7" w:rsidRPr="009F7F5C" w:rsidRDefault="001840E7" w:rsidP="001840E7">
            <w:pPr>
              <w:spacing w:after="0" w:line="240" w:lineRule="auto"/>
              <w:ind w:left="0" w:hanging="2"/>
              <w:jc w:val="center"/>
              <w:rPr>
                <w:rFonts w:ascii="Calibri Light" w:eastAsia="Times New Roman" w:hAnsi="Calibri Light" w:cs="Calibri Light"/>
              </w:rPr>
            </w:pPr>
            <w:r w:rsidRPr="009F7F5C">
              <w:rPr>
                <w:rFonts w:ascii="Calibri Light" w:eastAsia="Times New Roman" w:hAnsi="Calibri Light" w:cs="Calibri Light"/>
              </w:rPr>
              <w:t>No</w:t>
            </w:r>
          </w:p>
        </w:tc>
      </w:tr>
    </w:tbl>
    <w:p w14:paraId="43AFD928" w14:textId="4C2AA162" w:rsidR="00E33534" w:rsidRDefault="00E33534">
      <w:pPr>
        <w:widowControl w:val="0"/>
        <w:pBdr>
          <w:top w:val="nil"/>
          <w:left w:val="nil"/>
          <w:bottom w:val="nil"/>
          <w:right w:val="nil"/>
          <w:between w:val="nil"/>
        </w:pBdr>
        <w:spacing w:after="0" w:line="276" w:lineRule="auto"/>
        <w:ind w:left="0" w:firstLine="0"/>
        <w:rPr>
          <w:rFonts w:ascii="Arial" w:eastAsia="Arial" w:hAnsi="Arial" w:cs="Arial"/>
          <w:sz w:val="20"/>
          <w:szCs w:val="20"/>
        </w:rPr>
      </w:pPr>
    </w:p>
    <w:p w14:paraId="1A7DFBE1" w14:textId="77777777" w:rsidR="00E33534" w:rsidRDefault="00E33534">
      <w:pPr>
        <w:widowControl w:val="0"/>
        <w:pBdr>
          <w:top w:val="nil"/>
          <w:left w:val="nil"/>
          <w:bottom w:val="nil"/>
          <w:right w:val="nil"/>
          <w:between w:val="nil"/>
        </w:pBdr>
        <w:spacing w:after="0" w:line="276" w:lineRule="auto"/>
        <w:ind w:left="0" w:firstLine="0"/>
        <w:rPr>
          <w:rFonts w:ascii="Arial" w:eastAsia="Arial" w:hAnsi="Arial" w:cs="Arial"/>
          <w:sz w:val="20"/>
          <w:szCs w:val="20"/>
        </w:rPr>
      </w:pPr>
    </w:p>
    <w:p w14:paraId="547E4194" w14:textId="3F31D547" w:rsidR="00B34815" w:rsidRDefault="00B34815">
      <w:pPr>
        <w:ind w:left="0" w:firstLine="0"/>
        <w:rPr>
          <w:rFonts w:ascii="Times New Roman" w:eastAsia="Times New Roman" w:hAnsi="Times New Roman" w:cs="Times New Roman"/>
          <w:sz w:val="24"/>
          <w:szCs w:val="24"/>
        </w:rPr>
      </w:pPr>
    </w:p>
    <w:sectPr w:rsidR="00B34815">
      <w:head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ADAB" w14:textId="77777777" w:rsidR="00250877" w:rsidRDefault="00250877">
      <w:pPr>
        <w:spacing w:after="0" w:line="240" w:lineRule="auto"/>
      </w:pPr>
      <w:r>
        <w:separator/>
      </w:r>
    </w:p>
  </w:endnote>
  <w:endnote w:type="continuationSeparator" w:id="0">
    <w:p w14:paraId="65C1FFB5" w14:textId="77777777" w:rsidR="00250877" w:rsidRDefault="0025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42B8" w14:textId="77777777" w:rsidR="00985B19" w:rsidRDefault="00985B19">
    <w:pPr>
      <w:pBdr>
        <w:top w:val="nil"/>
        <w:left w:val="nil"/>
        <w:bottom w:val="nil"/>
        <w:right w:val="nil"/>
        <w:between w:val="nil"/>
      </w:pBdr>
      <w:spacing w:after="0" w:line="240" w:lineRule="auto"/>
      <w:ind w:hanging="2"/>
      <w:jc w:val="center"/>
      <w:rPr>
        <w:color w:val="000000"/>
      </w:rPr>
    </w:pPr>
    <w:r>
      <w:rPr>
        <w:rFonts w:ascii="Times New Roman" w:eastAsia="Times New Roman" w:hAnsi="Times New Roman" w:cs="Times New Roman"/>
        <w:color w:val="000000"/>
        <w:sz w:val="24"/>
        <w:szCs w:val="24"/>
      </w:rPr>
      <w:t>Authorized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9F3C" w14:textId="77777777" w:rsidR="00985B19" w:rsidRDefault="00985B19">
    <w:pPr>
      <w:pBdr>
        <w:top w:val="nil"/>
        <w:left w:val="nil"/>
        <w:bottom w:val="nil"/>
        <w:right w:val="nil"/>
        <w:between w:val="nil"/>
      </w:pBdr>
      <w:spacing w:after="0" w:line="240" w:lineRule="auto"/>
      <w:ind w:hanging="2"/>
      <w:jc w:val="center"/>
      <w:rPr>
        <w:color w:val="000000"/>
      </w:rPr>
    </w:pPr>
  </w:p>
  <w:p w14:paraId="7858A679" w14:textId="77777777" w:rsidR="00985B19" w:rsidRDefault="00985B19">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7BF75C73" w14:textId="77777777" w:rsidR="00985B19" w:rsidRDefault="00985B19">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8703" w14:textId="0C25FE4D" w:rsidR="00985B19" w:rsidRDefault="00985B19">
    <w:pPr>
      <w:pBdr>
        <w:top w:val="nil"/>
        <w:left w:val="nil"/>
        <w:bottom w:val="nil"/>
        <w:right w:val="nil"/>
        <w:between w:val="nil"/>
      </w:pBdr>
      <w:spacing w:after="0" w:line="240" w:lineRule="auto"/>
      <w:ind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0685" w14:textId="77777777" w:rsidR="00250877" w:rsidRDefault="00250877">
      <w:pPr>
        <w:spacing w:after="0" w:line="240" w:lineRule="auto"/>
      </w:pPr>
      <w:r>
        <w:separator/>
      </w:r>
    </w:p>
  </w:footnote>
  <w:footnote w:type="continuationSeparator" w:id="0">
    <w:p w14:paraId="4C801171" w14:textId="77777777" w:rsidR="00250877" w:rsidRDefault="00250877">
      <w:pPr>
        <w:spacing w:after="0" w:line="240" w:lineRule="auto"/>
      </w:pPr>
      <w:r>
        <w:continuationSeparator/>
      </w:r>
    </w:p>
  </w:footnote>
  <w:footnote w:id="1">
    <w:p w14:paraId="085D2DCD" w14:textId="77777777" w:rsidR="00B34815" w:rsidRDefault="007213C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The E.O. defines “Federal property managing agencies” as “agencies that have custody and control of, or responsibility for managing, Federal lands, buildings, and rights of way, federally assisted highways, and tribal lands.”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10B2" w14:textId="77777777" w:rsidR="00985B19" w:rsidRDefault="00985B19">
    <w:pPr>
      <w:pBdr>
        <w:top w:val="nil"/>
        <w:left w:val="nil"/>
        <w:bottom w:val="nil"/>
        <w:right w:val="nil"/>
        <w:between w:val="nil"/>
      </w:pBdr>
      <w:spacing w:after="0"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5B3A" w14:textId="2E83459E" w:rsidR="00985B19" w:rsidRPr="002E3EAE" w:rsidRDefault="00985B19" w:rsidP="002E3EAE">
    <w:pPr>
      <w:pBdr>
        <w:top w:val="nil"/>
        <w:left w:val="nil"/>
        <w:bottom w:val="nil"/>
        <w:right w:val="nil"/>
        <w:between w:val="nil"/>
      </w:pBdr>
      <w:spacing w:after="0" w:line="240" w:lineRule="auto"/>
      <w:ind w:hanging="2"/>
      <w:jc w:val="center"/>
      <w:rPr>
        <w:b/>
        <w:bCs/>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18E6" w14:textId="77777777" w:rsidR="00985B19" w:rsidRDefault="00985B19">
    <w:pPr>
      <w:tabs>
        <w:tab w:val="right" w:pos="9350"/>
      </w:tabs>
      <w:spacing w:after="0" w:line="240" w:lineRule="auto"/>
      <w:ind w:firstLine="0"/>
      <w:rPr>
        <w:color w:val="000000"/>
      </w:rPr>
    </w:pPr>
    <w:r>
      <w:rPr>
        <w:noProof/>
      </w:rPr>
      <mc:AlternateContent>
        <mc:Choice Requires="wps">
          <w:drawing>
            <wp:inline distT="0" distB="0" distL="0" distR="0" wp14:anchorId="57BABAFF" wp14:editId="2B6F8C8C">
              <wp:extent cx="725805" cy="657225"/>
              <wp:effectExtent l="0" t="0" r="0" b="9525"/>
              <wp:docPr id="1" name="Freeform: Shape 1" descr="GSA Logo. "/>
              <wp:cNvGraphicFramePr/>
              <a:graphic xmlns:a="http://schemas.openxmlformats.org/drawingml/2006/main">
                <a:graphicData uri="http://schemas.microsoft.com/office/word/2010/wordprocessingShape">
                  <wps:wsp>
                    <wps:cNvSpPr/>
                    <wps:spPr>
                      <a:xfrm>
                        <a:off x="4992623" y="3460913"/>
                        <a:ext cx="706755" cy="638175"/>
                      </a:xfrm>
                      <a:custGeom>
                        <a:avLst/>
                        <a:gdLst/>
                        <a:ahLst/>
                        <a:cxnLst/>
                        <a:rect l="l" t="t" r="r" b="b"/>
                        <a:pathLst>
                          <a:path w="1113" h="1005" extrusionOk="0">
                            <a:moveTo>
                              <a:pt x="1002" y="0"/>
                            </a:moveTo>
                            <a:lnTo>
                              <a:pt x="937" y="0"/>
                            </a:lnTo>
                            <a:lnTo>
                              <a:pt x="937" y="833"/>
                            </a:lnTo>
                            <a:lnTo>
                              <a:pt x="880" y="833"/>
                            </a:lnTo>
                            <a:lnTo>
                              <a:pt x="839" y="738"/>
                            </a:lnTo>
                            <a:lnTo>
                              <a:pt x="827" y="708"/>
                            </a:lnTo>
                            <a:lnTo>
                              <a:pt x="865" y="673"/>
                            </a:lnTo>
                            <a:lnTo>
                              <a:pt x="937" y="833"/>
                            </a:lnTo>
                            <a:lnTo>
                              <a:pt x="937" y="0"/>
                            </a:lnTo>
                            <a:lnTo>
                              <a:pt x="864" y="0"/>
                            </a:lnTo>
                            <a:lnTo>
                              <a:pt x="864" y="671"/>
                            </a:lnTo>
                            <a:lnTo>
                              <a:pt x="826" y="671"/>
                            </a:lnTo>
                            <a:lnTo>
                              <a:pt x="826" y="768"/>
                            </a:lnTo>
                            <a:lnTo>
                              <a:pt x="692" y="833"/>
                            </a:lnTo>
                            <a:lnTo>
                              <a:pt x="637" y="833"/>
                            </a:lnTo>
                            <a:lnTo>
                              <a:pt x="709" y="673"/>
                            </a:lnTo>
                            <a:lnTo>
                              <a:pt x="747" y="709"/>
                            </a:lnTo>
                            <a:lnTo>
                              <a:pt x="719" y="773"/>
                            </a:lnTo>
                            <a:lnTo>
                              <a:pt x="787" y="738"/>
                            </a:lnTo>
                            <a:lnTo>
                              <a:pt x="826" y="768"/>
                            </a:lnTo>
                            <a:lnTo>
                              <a:pt x="826" y="671"/>
                            </a:lnTo>
                            <a:lnTo>
                              <a:pt x="810" y="671"/>
                            </a:lnTo>
                            <a:lnTo>
                              <a:pt x="787" y="613"/>
                            </a:lnTo>
                            <a:lnTo>
                              <a:pt x="763" y="671"/>
                            </a:lnTo>
                            <a:lnTo>
                              <a:pt x="709" y="671"/>
                            </a:lnTo>
                            <a:lnTo>
                              <a:pt x="756" y="568"/>
                            </a:lnTo>
                            <a:lnTo>
                              <a:pt x="784" y="505"/>
                            </a:lnTo>
                            <a:lnTo>
                              <a:pt x="787" y="498"/>
                            </a:lnTo>
                            <a:lnTo>
                              <a:pt x="864" y="671"/>
                            </a:lnTo>
                            <a:lnTo>
                              <a:pt x="864" y="0"/>
                            </a:lnTo>
                            <a:lnTo>
                              <a:pt x="606" y="0"/>
                            </a:lnTo>
                            <a:lnTo>
                              <a:pt x="606" y="741"/>
                            </a:lnTo>
                            <a:lnTo>
                              <a:pt x="596" y="786"/>
                            </a:lnTo>
                            <a:lnTo>
                              <a:pt x="570" y="817"/>
                            </a:lnTo>
                            <a:lnTo>
                              <a:pt x="532" y="834"/>
                            </a:lnTo>
                            <a:lnTo>
                              <a:pt x="487" y="839"/>
                            </a:lnTo>
                            <a:lnTo>
                              <a:pt x="470" y="838"/>
                            </a:lnTo>
                            <a:lnTo>
                              <a:pt x="453" y="834"/>
                            </a:lnTo>
                            <a:lnTo>
                              <a:pt x="436" y="830"/>
                            </a:lnTo>
                            <a:lnTo>
                              <a:pt x="418" y="825"/>
                            </a:lnTo>
                            <a:lnTo>
                              <a:pt x="424" y="774"/>
                            </a:lnTo>
                            <a:lnTo>
                              <a:pt x="440" y="780"/>
                            </a:lnTo>
                            <a:lnTo>
                              <a:pt x="457" y="786"/>
                            </a:lnTo>
                            <a:lnTo>
                              <a:pt x="475" y="790"/>
                            </a:lnTo>
                            <a:lnTo>
                              <a:pt x="492" y="791"/>
                            </a:lnTo>
                            <a:lnTo>
                              <a:pt x="514" y="788"/>
                            </a:lnTo>
                            <a:lnTo>
                              <a:pt x="532" y="780"/>
                            </a:lnTo>
                            <a:lnTo>
                              <a:pt x="537" y="774"/>
                            </a:lnTo>
                            <a:lnTo>
                              <a:pt x="545" y="765"/>
                            </a:lnTo>
                            <a:lnTo>
                              <a:pt x="550" y="744"/>
                            </a:lnTo>
                            <a:lnTo>
                              <a:pt x="547" y="727"/>
                            </a:lnTo>
                            <a:lnTo>
                              <a:pt x="537" y="714"/>
                            </a:lnTo>
                            <a:lnTo>
                              <a:pt x="524" y="704"/>
                            </a:lnTo>
                            <a:lnTo>
                              <a:pt x="510" y="695"/>
                            </a:lnTo>
                            <a:lnTo>
                              <a:pt x="476" y="679"/>
                            </a:lnTo>
                            <a:lnTo>
                              <a:pt x="446" y="660"/>
                            </a:lnTo>
                            <a:lnTo>
                              <a:pt x="442" y="656"/>
                            </a:lnTo>
                            <a:lnTo>
                              <a:pt x="423" y="634"/>
                            </a:lnTo>
                            <a:lnTo>
                              <a:pt x="415" y="595"/>
                            </a:lnTo>
                            <a:lnTo>
                              <a:pt x="418" y="578"/>
                            </a:lnTo>
                            <a:lnTo>
                              <a:pt x="423" y="556"/>
                            </a:lnTo>
                            <a:lnTo>
                              <a:pt x="446" y="528"/>
                            </a:lnTo>
                            <a:lnTo>
                              <a:pt x="479" y="511"/>
                            </a:lnTo>
                            <a:lnTo>
                              <a:pt x="520" y="505"/>
                            </a:lnTo>
                            <a:lnTo>
                              <a:pt x="537" y="506"/>
                            </a:lnTo>
                            <a:lnTo>
                              <a:pt x="554" y="508"/>
                            </a:lnTo>
                            <a:lnTo>
                              <a:pt x="573" y="512"/>
                            </a:lnTo>
                            <a:lnTo>
                              <a:pt x="592" y="518"/>
                            </a:lnTo>
                            <a:lnTo>
                              <a:pt x="584" y="568"/>
                            </a:lnTo>
                            <a:lnTo>
                              <a:pt x="566" y="561"/>
                            </a:lnTo>
                            <a:lnTo>
                              <a:pt x="551" y="557"/>
                            </a:lnTo>
                            <a:lnTo>
                              <a:pt x="537" y="554"/>
                            </a:lnTo>
                            <a:lnTo>
                              <a:pt x="522" y="553"/>
                            </a:lnTo>
                            <a:lnTo>
                              <a:pt x="503" y="555"/>
                            </a:lnTo>
                            <a:lnTo>
                              <a:pt x="487" y="561"/>
                            </a:lnTo>
                            <a:lnTo>
                              <a:pt x="475" y="573"/>
                            </a:lnTo>
                            <a:lnTo>
                              <a:pt x="471" y="591"/>
                            </a:lnTo>
                            <a:lnTo>
                              <a:pt x="475" y="606"/>
                            </a:lnTo>
                            <a:lnTo>
                              <a:pt x="485" y="618"/>
                            </a:lnTo>
                            <a:lnTo>
                              <a:pt x="498" y="627"/>
                            </a:lnTo>
                            <a:lnTo>
                              <a:pt x="511" y="634"/>
                            </a:lnTo>
                            <a:lnTo>
                              <a:pt x="546" y="652"/>
                            </a:lnTo>
                            <a:lnTo>
                              <a:pt x="576" y="672"/>
                            </a:lnTo>
                            <a:lnTo>
                              <a:pt x="598" y="700"/>
                            </a:lnTo>
                            <a:lnTo>
                              <a:pt x="606" y="741"/>
                            </a:lnTo>
                            <a:lnTo>
                              <a:pt x="606" y="0"/>
                            </a:lnTo>
                            <a:lnTo>
                              <a:pt x="343" y="0"/>
                            </a:lnTo>
                            <a:lnTo>
                              <a:pt x="343" y="656"/>
                            </a:lnTo>
                            <a:lnTo>
                              <a:pt x="343" y="824"/>
                            </a:lnTo>
                            <a:lnTo>
                              <a:pt x="326" y="829"/>
                            </a:lnTo>
                            <a:lnTo>
                              <a:pt x="304" y="834"/>
                            </a:lnTo>
                            <a:lnTo>
                              <a:pt x="276" y="838"/>
                            </a:lnTo>
                            <a:lnTo>
                              <a:pt x="242" y="839"/>
                            </a:lnTo>
                            <a:lnTo>
                              <a:pt x="173" y="827"/>
                            </a:lnTo>
                            <a:lnTo>
                              <a:pt x="119" y="793"/>
                            </a:lnTo>
                            <a:lnTo>
                              <a:pt x="85" y="740"/>
                            </a:lnTo>
                            <a:lnTo>
                              <a:pt x="73" y="672"/>
                            </a:lnTo>
                            <a:lnTo>
                              <a:pt x="73" y="671"/>
                            </a:lnTo>
                            <a:lnTo>
                              <a:pt x="85" y="603"/>
                            </a:lnTo>
                            <a:lnTo>
                              <a:pt x="121" y="551"/>
                            </a:lnTo>
                            <a:lnTo>
                              <a:pt x="175" y="517"/>
                            </a:lnTo>
                            <a:lnTo>
                              <a:pt x="243" y="505"/>
                            </a:lnTo>
                            <a:lnTo>
                              <a:pt x="274" y="507"/>
                            </a:lnTo>
                            <a:lnTo>
                              <a:pt x="298" y="510"/>
                            </a:lnTo>
                            <a:lnTo>
                              <a:pt x="319" y="516"/>
                            </a:lnTo>
                            <a:lnTo>
                              <a:pt x="340" y="523"/>
                            </a:lnTo>
                            <a:lnTo>
                              <a:pt x="335" y="578"/>
                            </a:lnTo>
                            <a:lnTo>
                              <a:pt x="315" y="567"/>
                            </a:lnTo>
                            <a:lnTo>
                              <a:pt x="295" y="559"/>
                            </a:lnTo>
                            <a:lnTo>
                              <a:pt x="272" y="555"/>
                            </a:lnTo>
                            <a:lnTo>
                              <a:pt x="245" y="553"/>
                            </a:lnTo>
                            <a:lnTo>
                              <a:pt x="197" y="562"/>
                            </a:lnTo>
                            <a:lnTo>
                              <a:pt x="160" y="587"/>
                            </a:lnTo>
                            <a:lnTo>
                              <a:pt x="137" y="625"/>
                            </a:lnTo>
                            <a:lnTo>
                              <a:pt x="129" y="671"/>
                            </a:lnTo>
                            <a:lnTo>
                              <a:pt x="129" y="673"/>
                            </a:lnTo>
                            <a:lnTo>
                              <a:pt x="138" y="722"/>
                            </a:lnTo>
                            <a:lnTo>
                              <a:pt x="162" y="759"/>
                            </a:lnTo>
                            <a:lnTo>
                              <a:pt x="198" y="783"/>
                            </a:lnTo>
                            <a:lnTo>
                              <a:pt x="243" y="791"/>
                            </a:lnTo>
                            <a:lnTo>
                              <a:pt x="256" y="791"/>
                            </a:lnTo>
                            <a:lnTo>
                              <a:pt x="269" y="790"/>
                            </a:lnTo>
                            <a:lnTo>
                              <a:pt x="280" y="789"/>
                            </a:lnTo>
                            <a:lnTo>
                              <a:pt x="289" y="787"/>
                            </a:lnTo>
                            <a:lnTo>
                              <a:pt x="289" y="703"/>
                            </a:lnTo>
                            <a:lnTo>
                              <a:pt x="229" y="703"/>
                            </a:lnTo>
                            <a:lnTo>
                              <a:pt x="229" y="656"/>
                            </a:lnTo>
                            <a:lnTo>
                              <a:pt x="343" y="656"/>
                            </a:lnTo>
                            <a:lnTo>
                              <a:pt x="343" y="0"/>
                            </a:lnTo>
                            <a:lnTo>
                              <a:pt x="0" y="0"/>
                            </a:lnTo>
                            <a:lnTo>
                              <a:pt x="0" y="1005"/>
                            </a:lnTo>
                            <a:lnTo>
                              <a:pt x="1002" y="1005"/>
                            </a:lnTo>
                            <a:lnTo>
                              <a:pt x="1002" y="839"/>
                            </a:lnTo>
                            <a:lnTo>
                              <a:pt x="1002" y="833"/>
                            </a:lnTo>
                            <a:lnTo>
                              <a:pt x="1002" y="673"/>
                            </a:lnTo>
                            <a:lnTo>
                              <a:pt x="1002" y="671"/>
                            </a:lnTo>
                            <a:lnTo>
                              <a:pt x="1002" y="498"/>
                            </a:lnTo>
                            <a:lnTo>
                              <a:pt x="1002" y="0"/>
                            </a:lnTo>
                            <a:moveTo>
                              <a:pt x="1093" y="57"/>
                            </a:moveTo>
                            <a:lnTo>
                              <a:pt x="1084" y="43"/>
                            </a:lnTo>
                            <a:lnTo>
                              <a:pt x="1082" y="41"/>
                            </a:lnTo>
                            <a:lnTo>
                              <a:pt x="1081" y="40"/>
                            </a:lnTo>
                            <a:lnTo>
                              <a:pt x="1079" y="40"/>
                            </a:lnTo>
                            <a:lnTo>
                              <a:pt x="1085" y="39"/>
                            </a:lnTo>
                            <a:lnTo>
                              <a:pt x="1089" y="35"/>
                            </a:lnTo>
                            <a:lnTo>
                              <a:pt x="1090" y="35"/>
                            </a:lnTo>
                            <a:lnTo>
                              <a:pt x="1090" y="25"/>
                            </a:lnTo>
                            <a:lnTo>
                              <a:pt x="1089" y="23"/>
                            </a:lnTo>
                            <a:lnTo>
                              <a:pt x="1087" y="21"/>
                            </a:lnTo>
                            <a:lnTo>
                              <a:pt x="1084" y="19"/>
                            </a:lnTo>
                            <a:lnTo>
                              <a:pt x="1083" y="19"/>
                            </a:lnTo>
                            <a:lnTo>
                              <a:pt x="1083" y="25"/>
                            </a:lnTo>
                            <a:lnTo>
                              <a:pt x="1083" y="33"/>
                            </a:lnTo>
                            <a:lnTo>
                              <a:pt x="1080" y="35"/>
                            </a:lnTo>
                            <a:lnTo>
                              <a:pt x="1066" y="35"/>
                            </a:lnTo>
                            <a:lnTo>
                              <a:pt x="1066" y="23"/>
                            </a:lnTo>
                            <a:lnTo>
                              <a:pt x="1080" y="23"/>
                            </a:lnTo>
                            <a:lnTo>
                              <a:pt x="1083" y="25"/>
                            </a:lnTo>
                            <a:lnTo>
                              <a:pt x="1083" y="19"/>
                            </a:lnTo>
                            <a:lnTo>
                              <a:pt x="1081" y="18"/>
                            </a:lnTo>
                            <a:lnTo>
                              <a:pt x="1079" y="18"/>
                            </a:lnTo>
                            <a:lnTo>
                              <a:pt x="1060" y="18"/>
                            </a:lnTo>
                            <a:lnTo>
                              <a:pt x="1060" y="57"/>
                            </a:lnTo>
                            <a:lnTo>
                              <a:pt x="1066" y="57"/>
                            </a:lnTo>
                            <a:lnTo>
                              <a:pt x="1066" y="40"/>
                            </a:lnTo>
                            <a:lnTo>
                              <a:pt x="1075" y="40"/>
                            </a:lnTo>
                            <a:lnTo>
                              <a:pt x="1076" y="42"/>
                            </a:lnTo>
                            <a:lnTo>
                              <a:pt x="1081" y="51"/>
                            </a:lnTo>
                            <a:lnTo>
                              <a:pt x="1085" y="57"/>
                            </a:lnTo>
                            <a:lnTo>
                              <a:pt x="1093" y="57"/>
                            </a:lnTo>
                            <a:moveTo>
                              <a:pt x="1112" y="37"/>
                            </a:moveTo>
                            <a:lnTo>
                              <a:pt x="1109" y="23"/>
                            </a:lnTo>
                            <a:lnTo>
                              <a:pt x="1106" y="18"/>
                            </a:lnTo>
                            <a:lnTo>
                              <a:pt x="1106" y="37"/>
                            </a:lnTo>
                            <a:lnTo>
                              <a:pt x="1104" y="49"/>
                            </a:lnTo>
                            <a:lnTo>
                              <a:pt x="1097" y="59"/>
                            </a:lnTo>
                            <a:lnTo>
                              <a:pt x="1087" y="65"/>
                            </a:lnTo>
                            <a:lnTo>
                              <a:pt x="1076" y="67"/>
                            </a:lnTo>
                            <a:lnTo>
                              <a:pt x="1064" y="65"/>
                            </a:lnTo>
                            <a:lnTo>
                              <a:pt x="1054" y="59"/>
                            </a:lnTo>
                            <a:lnTo>
                              <a:pt x="1047" y="49"/>
                            </a:lnTo>
                            <a:lnTo>
                              <a:pt x="1045" y="37"/>
                            </a:lnTo>
                            <a:lnTo>
                              <a:pt x="1047" y="25"/>
                            </a:lnTo>
                            <a:lnTo>
                              <a:pt x="1054" y="15"/>
                            </a:lnTo>
                            <a:lnTo>
                              <a:pt x="1064" y="9"/>
                            </a:lnTo>
                            <a:lnTo>
                              <a:pt x="1076" y="6"/>
                            </a:lnTo>
                            <a:lnTo>
                              <a:pt x="1087" y="9"/>
                            </a:lnTo>
                            <a:lnTo>
                              <a:pt x="1097" y="15"/>
                            </a:lnTo>
                            <a:lnTo>
                              <a:pt x="1104" y="25"/>
                            </a:lnTo>
                            <a:lnTo>
                              <a:pt x="1106" y="37"/>
                            </a:lnTo>
                            <a:lnTo>
                              <a:pt x="1106" y="18"/>
                            </a:lnTo>
                            <a:lnTo>
                              <a:pt x="1101" y="11"/>
                            </a:lnTo>
                            <a:lnTo>
                              <a:pt x="1095" y="6"/>
                            </a:lnTo>
                            <a:lnTo>
                              <a:pt x="1090" y="3"/>
                            </a:lnTo>
                            <a:lnTo>
                              <a:pt x="1076" y="0"/>
                            </a:lnTo>
                            <a:lnTo>
                              <a:pt x="1061" y="3"/>
                            </a:lnTo>
                            <a:lnTo>
                              <a:pt x="1050" y="11"/>
                            </a:lnTo>
                            <a:lnTo>
                              <a:pt x="1042" y="23"/>
                            </a:lnTo>
                            <a:lnTo>
                              <a:pt x="1039" y="37"/>
                            </a:lnTo>
                            <a:lnTo>
                              <a:pt x="1042" y="51"/>
                            </a:lnTo>
                            <a:lnTo>
                              <a:pt x="1050" y="63"/>
                            </a:lnTo>
                            <a:lnTo>
                              <a:pt x="1061" y="71"/>
                            </a:lnTo>
                            <a:lnTo>
                              <a:pt x="1076" y="74"/>
                            </a:lnTo>
                            <a:lnTo>
                              <a:pt x="1090" y="71"/>
                            </a:lnTo>
                            <a:lnTo>
                              <a:pt x="1095" y="67"/>
                            </a:lnTo>
                            <a:lnTo>
                              <a:pt x="1101" y="63"/>
                            </a:lnTo>
                            <a:lnTo>
                              <a:pt x="1109" y="51"/>
                            </a:lnTo>
                            <a:lnTo>
                              <a:pt x="1112" y="37"/>
                            </a:lnTo>
                          </a:path>
                        </a:pathLst>
                      </a:custGeom>
                      <a:solidFill>
                        <a:srgbClr val="00467F"/>
                      </a:solidFill>
                      <a:ln>
                        <a:noFill/>
                      </a:ln>
                    </wps:spPr>
                    <wps:bodyPr spcFirstLastPara="1" wrap="square" lIns="91425" tIns="91425" rIns="91425" bIns="91425" anchor="ctr" anchorCtr="0">
                      <a:noAutofit/>
                    </wps:bodyPr>
                  </wps:wsp>
                </a:graphicData>
              </a:graphic>
            </wp:inline>
          </w:drawing>
        </mc:Choice>
        <mc:Fallback>
          <w:pict>
            <v:shape w14:anchorId="5109B26B" id="Freeform: Shape 1" o:spid="_x0000_s1026" alt="GSA Logo. " style="width:57.15pt;height:51.75pt;visibility:visible;mso-wrap-style:square;mso-left-percent:-10001;mso-top-percent:-10001;mso-position-horizontal:absolute;mso-position-horizontal-relative:char;mso-position-vertical:absolute;mso-position-vertical-relative:line;mso-left-percent:-10001;mso-top-percent:-10001;v-text-anchor:middle" coordsize="111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" path="m1002,l937,r,833l880,833,839,738,827,708r38,-35l937,833,937,,864,r,671l826,671r,97l692,833r-55,l709,673r38,36l719,773r68,-35l826,768r,-97l810,671,787,613r-24,58l709,671,756,568r28,-63l787,498r77,173l864,,606,r,741l596,786r-26,31l532,834r-45,5l470,838r-17,-4l436,830r-18,-5l424,774r16,6l457,786r18,4l492,791r22,-3l532,780r5,-6l545,765r5,-21l547,727,537,714,524,704r-14,-9l476,679,446,660r-4,-4l423,634r-8,-39l418,578r5,-22l446,528r33,-17l520,505r17,1l554,508r19,4l592,518r-8,50l566,561r-15,-4l537,554r-15,-1l503,555r-16,6l475,573r-4,18l475,606r10,12l498,627r13,7l546,652r30,20l598,700r8,41l606,,343,r,656l343,824r-17,5l304,834r-28,4l242,839,173,827,119,793,85,740,73,672r,-1l85,603r36,-52l175,517r68,-12l274,507r24,3l319,516r21,7l335,578,315,567r-20,-8l272,555r-27,-2l197,562r-37,25l137,625r-8,46l129,673r9,49l162,759r36,24l243,791r13,l269,790r11,-1l289,787r,-84l229,703r,-47l343,656,343,,,,,1005r1002,l1002,839r,-6l1002,673r,-2l1002,498,1002,t91,57l1084,43r-2,-2l1081,40r-2,l1085,39r4,-4l1090,35r,-10l1089,23r-2,-2l1084,19r-1,l1083,25r,8l1080,35r-14,l1066,23r14,l1083,25r,-6l1081,18r-2,l1060,18r,39l1066,57r,-17l1075,40r1,2l1081,51r4,6l1093,57t19,-20l1109,23r-3,-5l1106,37r-2,12l1097,59r-10,6l1076,67r-12,-2l1054,59r-7,-10l1045,37r2,-12l1054,15r10,-6l1076,6r11,3l1097,15r7,10l1106,37r,-19l1101,11r-6,-5l1090,3,1076,r-15,3l1050,11r-8,12l1039,37r3,14l1050,63r11,8l1076,74r14,-3l1095,67r6,-4l1109,51r3,-14e" fillcolor="#00467f" stroked="f">
              <v:path arrowok="t" o:extrusionok="f"/>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88C3" w14:textId="0DA1FAF1" w:rsidR="00B34815" w:rsidRDefault="007213CB">
    <w:pPr>
      <w:pBdr>
        <w:top w:val="nil"/>
        <w:left w:val="nil"/>
        <w:bottom w:val="nil"/>
        <w:right w:val="nil"/>
        <w:between w:val="nil"/>
      </w:pBdr>
      <w:spacing w:after="0" w:line="240" w:lineRule="auto"/>
      <w:ind w:left="1" w:hanging="3"/>
      <w:jc w:val="center"/>
      <w:rPr>
        <w:rFonts w:asciiTheme="majorHAnsi" w:eastAsia="Times New Roman" w:hAnsiTheme="majorHAnsi" w:cstheme="majorHAnsi"/>
        <w:b/>
        <w:color w:val="000000"/>
        <w:sz w:val="28"/>
        <w:szCs w:val="28"/>
      </w:rPr>
    </w:pPr>
    <w:r w:rsidRPr="00F32D0E">
      <w:rPr>
        <w:rFonts w:asciiTheme="majorHAnsi" w:eastAsia="Times New Roman" w:hAnsiTheme="majorHAnsi" w:cstheme="majorHAnsi"/>
        <w:b/>
        <w:color w:val="000000"/>
        <w:sz w:val="28"/>
        <w:szCs w:val="28"/>
      </w:rPr>
      <w:t xml:space="preserve">APPENDIX </w:t>
    </w:r>
    <w:r w:rsidR="002C4617">
      <w:rPr>
        <w:rFonts w:asciiTheme="majorHAnsi" w:eastAsia="Times New Roman" w:hAnsiTheme="majorHAnsi" w:cstheme="majorHAnsi"/>
        <w:b/>
        <w:color w:val="000000"/>
        <w:sz w:val="28"/>
        <w:szCs w:val="28"/>
      </w:rPr>
      <w:t>A</w:t>
    </w:r>
    <w:r w:rsidRPr="00F32D0E">
      <w:rPr>
        <w:rFonts w:asciiTheme="majorHAnsi" w:eastAsia="Times New Roman" w:hAnsiTheme="majorHAnsi" w:cstheme="majorHAnsi"/>
        <w:b/>
        <w:color w:val="000000"/>
        <w:sz w:val="28"/>
        <w:szCs w:val="28"/>
      </w:rPr>
      <w:t>: Federal Property Managing Agencies Surveyed</w:t>
    </w:r>
  </w:p>
  <w:p w14:paraId="2C4868C6" w14:textId="77777777" w:rsidR="00B34815" w:rsidRDefault="00B34815">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9788" w14:textId="6C7CE105" w:rsidR="009109AA" w:rsidRDefault="009109AA">
    <w:pPr>
      <w:pBdr>
        <w:top w:val="nil"/>
        <w:left w:val="nil"/>
        <w:bottom w:val="nil"/>
        <w:right w:val="nil"/>
        <w:between w:val="nil"/>
      </w:pBdr>
      <w:spacing w:after="0" w:line="240" w:lineRule="auto"/>
      <w:ind w:left="1" w:hanging="3"/>
      <w:jc w:val="center"/>
      <w:rPr>
        <w:rFonts w:asciiTheme="majorHAnsi" w:eastAsia="Times New Roman" w:hAnsiTheme="majorHAnsi" w:cstheme="majorHAnsi"/>
        <w:b/>
        <w:color w:val="000000"/>
        <w:sz w:val="28"/>
        <w:szCs w:val="28"/>
      </w:rPr>
    </w:pPr>
    <w:r w:rsidRPr="00F32D0E">
      <w:rPr>
        <w:rFonts w:asciiTheme="majorHAnsi" w:eastAsia="Times New Roman" w:hAnsiTheme="majorHAnsi" w:cstheme="majorHAnsi"/>
        <w:b/>
        <w:color w:val="000000"/>
        <w:sz w:val="28"/>
        <w:szCs w:val="28"/>
      </w:rPr>
      <w:t xml:space="preserve">APPENDIX </w:t>
    </w:r>
    <w:r>
      <w:rPr>
        <w:rFonts w:asciiTheme="majorHAnsi" w:eastAsia="Times New Roman" w:hAnsiTheme="majorHAnsi" w:cstheme="majorHAnsi"/>
        <w:b/>
        <w:color w:val="000000"/>
        <w:sz w:val="28"/>
        <w:szCs w:val="28"/>
      </w:rPr>
      <w:t>B</w:t>
    </w:r>
    <w:r w:rsidRPr="00F32D0E">
      <w:rPr>
        <w:rFonts w:asciiTheme="majorHAnsi" w:eastAsia="Times New Roman" w:hAnsiTheme="majorHAnsi" w:cstheme="majorHAnsi"/>
        <w:b/>
        <w:color w:val="000000"/>
        <w:sz w:val="28"/>
        <w:szCs w:val="28"/>
      </w:rPr>
      <w:t>: Federal Property Managing Agencies Surveyed</w:t>
    </w:r>
  </w:p>
  <w:p w14:paraId="79D513C5" w14:textId="77777777" w:rsidR="009109AA" w:rsidRDefault="009109AA">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79A0" w14:textId="77777777" w:rsidR="00B34815" w:rsidRPr="00F32D0E" w:rsidRDefault="007213CB">
    <w:pPr>
      <w:pBdr>
        <w:top w:val="nil"/>
        <w:left w:val="nil"/>
        <w:bottom w:val="nil"/>
        <w:right w:val="nil"/>
        <w:between w:val="nil"/>
      </w:pBdr>
      <w:spacing w:after="0" w:line="240" w:lineRule="auto"/>
      <w:ind w:left="1" w:hanging="3"/>
      <w:jc w:val="center"/>
      <w:rPr>
        <w:rFonts w:asciiTheme="majorHAnsi" w:eastAsia="Times New Roman" w:hAnsiTheme="majorHAnsi" w:cstheme="majorHAnsi"/>
        <w:color w:val="000000"/>
        <w:sz w:val="28"/>
        <w:szCs w:val="28"/>
      </w:rPr>
    </w:pPr>
    <w:r w:rsidRPr="00F32D0E">
      <w:rPr>
        <w:rFonts w:asciiTheme="majorHAnsi" w:eastAsia="Times New Roman" w:hAnsiTheme="majorHAnsi" w:cstheme="majorHAnsi"/>
        <w:b/>
        <w:color w:val="000000"/>
        <w:sz w:val="28"/>
        <w:szCs w:val="28"/>
      </w:rPr>
      <w:t xml:space="preserve">APPENDIX C: </w:t>
    </w:r>
    <w:r w:rsidRPr="00F32D0E">
      <w:rPr>
        <w:rFonts w:asciiTheme="majorHAnsi" w:eastAsia="Times New Roman" w:hAnsiTheme="majorHAnsi" w:cstheme="majorHAnsi"/>
        <w:b/>
        <w:sz w:val="28"/>
        <w:szCs w:val="28"/>
      </w:rPr>
      <w:t>Agencies</w:t>
    </w:r>
    <w:r w:rsidRPr="00F32D0E">
      <w:rPr>
        <w:rFonts w:asciiTheme="majorHAnsi" w:eastAsia="Times New Roman" w:hAnsiTheme="majorHAnsi" w:cstheme="majorHAnsi"/>
        <w:b/>
        <w:color w:val="000000"/>
        <w:sz w:val="28"/>
        <w:szCs w:val="28"/>
      </w:rPr>
      <w:t xml:space="preserve"> </w:t>
    </w:r>
    <w:r w:rsidRPr="00F32D0E">
      <w:rPr>
        <w:rFonts w:asciiTheme="majorHAnsi" w:eastAsia="Times New Roman" w:hAnsiTheme="majorHAnsi" w:cstheme="majorHAnsi"/>
        <w:b/>
        <w:sz w:val="28"/>
        <w:szCs w:val="28"/>
      </w:rPr>
      <w:t xml:space="preserve">That Processed </w:t>
    </w:r>
    <w:r w:rsidRPr="00F32D0E">
      <w:rPr>
        <w:rFonts w:asciiTheme="majorHAnsi" w:eastAsia="Times New Roman" w:hAnsiTheme="majorHAnsi" w:cstheme="majorHAnsi"/>
        <w:b/>
        <w:color w:val="000000"/>
        <w:sz w:val="28"/>
        <w:szCs w:val="28"/>
      </w:rPr>
      <w:t>Permit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06B"/>
    <w:multiLevelType w:val="multilevel"/>
    <w:tmpl w:val="255465B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54B2D60"/>
    <w:multiLevelType w:val="multilevel"/>
    <w:tmpl w:val="04CC7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B950B7"/>
    <w:multiLevelType w:val="multilevel"/>
    <w:tmpl w:val="8E7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87D5A"/>
    <w:multiLevelType w:val="multilevel"/>
    <w:tmpl w:val="82A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73F85"/>
    <w:multiLevelType w:val="multilevel"/>
    <w:tmpl w:val="02EA4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146296"/>
    <w:multiLevelType w:val="multilevel"/>
    <w:tmpl w:val="E1F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D1A32"/>
    <w:multiLevelType w:val="multilevel"/>
    <w:tmpl w:val="32F65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7F789C"/>
    <w:multiLevelType w:val="multilevel"/>
    <w:tmpl w:val="B4026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1691D1B"/>
    <w:multiLevelType w:val="hybridMultilevel"/>
    <w:tmpl w:val="8CE6C4A6"/>
    <w:lvl w:ilvl="0" w:tplc="9FB4255C">
      <w:numFmt w:val="bullet"/>
      <w:lvlText w:val="—"/>
      <w:lvlJc w:val="left"/>
      <w:pPr>
        <w:ind w:left="720" w:hanging="360"/>
      </w:pPr>
      <w:rPr>
        <w:rFonts w:ascii="Calibri" w:eastAsia="Cambria"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8345F"/>
    <w:multiLevelType w:val="multilevel"/>
    <w:tmpl w:val="A9522C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C0C2B9E"/>
    <w:multiLevelType w:val="multilevel"/>
    <w:tmpl w:val="2EAE28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i w:val="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8C37F99"/>
    <w:multiLevelType w:val="multilevel"/>
    <w:tmpl w:val="BCB064E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2DC2892"/>
    <w:multiLevelType w:val="multilevel"/>
    <w:tmpl w:val="2B805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9046170">
    <w:abstractNumId w:val="0"/>
  </w:num>
  <w:num w:numId="2" w16cid:durableId="726951922">
    <w:abstractNumId w:val="1"/>
  </w:num>
  <w:num w:numId="3" w16cid:durableId="627051206">
    <w:abstractNumId w:val="12"/>
  </w:num>
  <w:num w:numId="4" w16cid:durableId="192039474">
    <w:abstractNumId w:val="11"/>
  </w:num>
  <w:num w:numId="5" w16cid:durableId="829713224">
    <w:abstractNumId w:val="10"/>
  </w:num>
  <w:num w:numId="6" w16cid:durableId="1442803110">
    <w:abstractNumId w:val="9"/>
  </w:num>
  <w:num w:numId="7" w16cid:durableId="1682389841">
    <w:abstractNumId w:val="4"/>
  </w:num>
  <w:num w:numId="8" w16cid:durableId="898521182">
    <w:abstractNumId w:val="8"/>
  </w:num>
  <w:num w:numId="9" w16cid:durableId="555749949">
    <w:abstractNumId w:val="7"/>
  </w:num>
  <w:num w:numId="10" w16cid:durableId="983126013">
    <w:abstractNumId w:val="6"/>
  </w:num>
  <w:num w:numId="11" w16cid:durableId="31657788">
    <w:abstractNumId w:val="3"/>
  </w:num>
  <w:num w:numId="12" w16cid:durableId="490372704">
    <w:abstractNumId w:val="5"/>
  </w:num>
  <w:num w:numId="13" w16cid:durableId="541669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UByKZoId7y1rUbaZ9DrEPA0wkJ3Tl/KD2ZZZCuAi0RvgkOzIRIvAirCTTtq3HJNNVvDaelvqOlA6lYdietSLaw==" w:salt="37ftBdFHMoWs5Bru1rOI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15"/>
    <w:rsid w:val="000013A0"/>
    <w:rsid w:val="00005033"/>
    <w:rsid w:val="000068CB"/>
    <w:rsid w:val="00011579"/>
    <w:rsid w:val="00011AD8"/>
    <w:rsid w:val="00021607"/>
    <w:rsid w:val="00024FEB"/>
    <w:rsid w:val="00026CBA"/>
    <w:rsid w:val="000407FE"/>
    <w:rsid w:val="00041B3A"/>
    <w:rsid w:val="00046F7E"/>
    <w:rsid w:val="00053F3F"/>
    <w:rsid w:val="0006301B"/>
    <w:rsid w:val="00065959"/>
    <w:rsid w:val="000775D6"/>
    <w:rsid w:val="00082568"/>
    <w:rsid w:val="00083580"/>
    <w:rsid w:val="00092FB2"/>
    <w:rsid w:val="00094A5E"/>
    <w:rsid w:val="000A0B05"/>
    <w:rsid w:val="000B0296"/>
    <w:rsid w:val="000C2BB4"/>
    <w:rsid w:val="000D4030"/>
    <w:rsid w:val="00101A90"/>
    <w:rsid w:val="00102625"/>
    <w:rsid w:val="00106CFA"/>
    <w:rsid w:val="001151C7"/>
    <w:rsid w:val="00121BDA"/>
    <w:rsid w:val="00127803"/>
    <w:rsid w:val="0013047D"/>
    <w:rsid w:val="0013051C"/>
    <w:rsid w:val="00130AA5"/>
    <w:rsid w:val="00142C8E"/>
    <w:rsid w:val="001476F2"/>
    <w:rsid w:val="00156D92"/>
    <w:rsid w:val="001571FE"/>
    <w:rsid w:val="001603EB"/>
    <w:rsid w:val="00163923"/>
    <w:rsid w:val="00170791"/>
    <w:rsid w:val="0018154F"/>
    <w:rsid w:val="001840E7"/>
    <w:rsid w:val="0019197A"/>
    <w:rsid w:val="001A01C7"/>
    <w:rsid w:val="001A0A7E"/>
    <w:rsid w:val="001A172B"/>
    <w:rsid w:val="001A7BCC"/>
    <w:rsid w:val="001B3C19"/>
    <w:rsid w:val="001B4391"/>
    <w:rsid w:val="001B6276"/>
    <w:rsid w:val="001C002B"/>
    <w:rsid w:val="001C0193"/>
    <w:rsid w:val="001C177E"/>
    <w:rsid w:val="001C5A07"/>
    <w:rsid w:val="001D06BC"/>
    <w:rsid w:val="001D2905"/>
    <w:rsid w:val="001D34FE"/>
    <w:rsid w:val="001F0428"/>
    <w:rsid w:val="001F3303"/>
    <w:rsid w:val="001F71D4"/>
    <w:rsid w:val="002210DE"/>
    <w:rsid w:val="00225593"/>
    <w:rsid w:val="00226B14"/>
    <w:rsid w:val="002330F3"/>
    <w:rsid w:val="0023607C"/>
    <w:rsid w:val="00250877"/>
    <w:rsid w:val="002530AB"/>
    <w:rsid w:val="0027397C"/>
    <w:rsid w:val="00273FA1"/>
    <w:rsid w:val="00276855"/>
    <w:rsid w:val="0027735F"/>
    <w:rsid w:val="00281586"/>
    <w:rsid w:val="0028658A"/>
    <w:rsid w:val="002866EA"/>
    <w:rsid w:val="002A017D"/>
    <w:rsid w:val="002B0CFC"/>
    <w:rsid w:val="002B0D01"/>
    <w:rsid w:val="002B2524"/>
    <w:rsid w:val="002C4617"/>
    <w:rsid w:val="002C5734"/>
    <w:rsid w:val="002D2AE8"/>
    <w:rsid w:val="002D5B06"/>
    <w:rsid w:val="002E39CF"/>
    <w:rsid w:val="002E3EAE"/>
    <w:rsid w:val="002E6B9C"/>
    <w:rsid w:val="002F4DC2"/>
    <w:rsid w:val="00304A03"/>
    <w:rsid w:val="00310BF2"/>
    <w:rsid w:val="00316628"/>
    <w:rsid w:val="003212D5"/>
    <w:rsid w:val="003309D5"/>
    <w:rsid w:val="00333C0A"/>
    <w:rsid w:val="00333F28"/>
    <w:rsid w:val="00336863"/>
    <w:rsid w:val="0034114F"/>
    <w:rsid w:val="0034372F"/>
    <w:rsid w:val="00346D79"/>
    <w:rsid w:val="003536B0"/>
    <w:rsid w:val="00367173"/>
    <w:rsid w:val="00367FE8"/>
    <w:rsid w:val="00380431"/>
    <w:rsid w:val="003A3503"/>
    <w:rsid w:val="003A58AD"/>
    <w:rsid w:val="003A652E"/>
    <w:rsid w:val="003B2144"/>
    <w:rsid w:val="003B4331"/>
    <w:rsid w:val="003B6B1D"/>
    <w:rsid w:val="003C3CFF"/>
    <w:rsid w:val="003F4314"/>
    <w:rsid w:val="003F58EE"/>
    <w:rsid w:val="00404627"/>
    <w:rsid w:val="00412BEE"/>
    <w:rsid w:val="0042148D"/>
    <w:rsid w:val="00422DB2"/>
    <w:rsid w:val="0043069E"/>
    <w:rsid w:val="004323E0"/>
    <w:rsid w:val="00433384"/>
    <w:rsid w:val="004446EC"/>
    <w:rsid w:val="00454BA2"/>
    <w:rsid w:val="00462582"/>
    <w:rsid w:val="00462AF2"/>
    <w:rsid w:val="00470911"/>
    <w:rsid w:val="00471282"/>
    <w:rsid w:val="004729E5"/>
    <w:rsid w:val="00481AB5"/>
    <w:rsid w:val="00491245"/>
    <w:rsid w:val="00497A98"/>
    <w:rsid w:val="004A18B4"/>
    <w:rsid w:val="004A2C59"/>
    <w:rsid w:val="004A3EC1"/>
    <w:rsid w:val="004A5BFA"/>
    <w:rsid w:val="004A5CD5"/>
    <w:rsid w:val="004C4322"/>
    <w:rsid w:val="004C5F9C"/>
    <w:rsid w:val="004D54DB"/>
    <w:rsid w:val="004E74BC"/>
    <w:rsid w:val="004F1E78"/>
    <w:rsid w:val="00501F4F"/>
    <w:rsid w:val="00503D23"/>
    <w:rsid w:val="00511A56"/>
    <w:rsid w:val="00520613"/>
    <w:rsid w:val="00524AFD"/>
    <w:rsid w:val="00527D63"/>
    <w:rsid w:val="005301A2"/>
    <w:rsid w:val="0053142E"/>
    <w:rsid w:val="00532D9A"/>
    <w:rsid w:val="0054082A"/>
    <w:rsid w:val="00547A52"/>
    <w:rsid w:val="00553746"/>
    <w:rsid w:val="00575F92"/>
    <w:rsid w:val="00577BA5"/>
    <w:rsid w:val="00582E77"/>
    <w:rsid w:val="00586ABD"/>
    <w:rsid w:val="00587F4F"/>
    <w:rsid w:val="00590C5D"/>
    <w:rsid w:val="0059695A"/>
    <w:rsid w:val="005B32D6"/>
    <w:rsid w:val="005C3931"/>
    <w:rsid w:val="005C6F4B"/>
    <w:rsid w:val="005F109C"/>
    <w:rsid w:val="005F4260"/>
    <w:rsid w:val="005F5A3E"/>
    <w:rsid w:val="006023D4"/>
    <w:rsid w:val="006027CE"/>
    <w:rsid w:val="00603489"/>
    <w:rsid w:val="00604792"/>
    <w:rsid w:val="00605857"/>
    <w:rsid w:val="006154FA"/>
    <w:rsid w:val="00615680"/>
    <w:rsid w:val="00616177"/>
    <w:rsid w:val="00623AC7"/>
    <w:rsid w:val="00630217"/>
    <w:rsid w:val="0066074C"/>
    <w:rsid w:val="00665CE0"/>
    <w:rsid w:val="006665D3"/>
    <w:rsid w:val="00694CD9"/>
    <w:rsid w:val="006C19DA"/>
    <w:rsid w:val="006C3104"/>
    <w:rsid w:val="006C49DC"/>
    <w:rsid w:val="006D7A79"/>
    <w:rsid w:val="006E2F9D"/>
    <w:rsid w:val="006E3108"/>
    <w:rsid w:val="006F22DC"/>
    <w:rsid w:val="006F6325"/>
    <w:rsid w:val="0070611F"/>
    <w:rsid w:val="007072E0"/>
    <w:rsid w:val="00707E30"/>
    <w:rsid w:val="00717037"/>
    <w:rsid w:val="007213CB"/>
    <w:rsid w:val="00722B6D"/>
    <w:rsid w:val="00722BFB"/>
    <w:rsid w:val="00730646"/>
    <w:rsid w:val="0073205E"/>
    <w:rsid w:val="0073356E"/>
    <w:rsid w:val="00734556"/>
    <w:rsid w:val="007354D9"/>
    <w:rsid w:val="007371D2"/>
    <w:rsid w:val="0074513C"/>
    <w:rsid w:val="00757574"/>
    <w:rsid w:val="00757E91"/>
    <w:rsid w:val="00763B79"/>
    <w:rsid w:val="007723EA"/>
    <w:rsid w:val="007768D0"/>
    <w:rsid w:val="00792199"/>
    <w:rsid w:val="007A1EFB"/>
    <w:rsid w:val="007A7DD6"/>
    <w:rsid w:val="007B3848"/>
    <w:rsid w:val="007C27CA"/>
    <w:rsid w:val="007D05A5"/>
    <w:rsid w:val="007E04EE"/>
    <w:rsid w:val="007E616A"/>
    <w:rsid w:val="00800640"/>
    <w:rsid w:val="00813A69"/>
    <w:rsid w:val="0081459B"/>
    <w:rsid w:val="00820697"/>
    <w:rsid w:val="008312B9"/>
    <w:rsid w:val="00836108"/>
    <w:rsid w:val="00842524"/>
    <w:rsid w:val="00845A34"/>
    <w:rsid w:val="00851662"/>
    <w:rsid w:val="00854ADC"/>
    <w:rsid w:val="00862AB4"/>
    <w:rsid w:val="00863044"/>
    <w:rsid w:val="00865CC3"/>
    <w:rsid w:val="00892DBB"/>
    <w:rsid w:val="008934DB"/>
    <w:rsid w:val="00894913"/>
    <w:rsid w:val="00894C79"/>
    <w:rsid w:val="008A1210"/>
    <w:rsid w:val="008B14B0"/>
    <w:rsid w:val="008C0BFB"/>
    <w:rsid w:val="008C3C84"/>
    <w:rsid w:val="00907F34"/>
    <w:rsid w:val="009109AA"/>
    <w:rsid w:val="00913810"/>
    <w:rsid w:val="00915BCD"/>
    <w:rsid w:val="0091739B"/>
    <w:rsid w:val="009249F1"/>
    <w:rsid w:val="00942BA3"/>
    <w:rsid w:val="00943FB2"/>
    <w:rsid w:val="00957A59"/>
    <w:rsid w:val="00962ED7"/>
    <w:rsid w:val="00970987"/>
    <w:rsid w:val="00976081"/>
    <w:rsid w:val="00985B19"/>
    <w:rsid w:val="00991D04"/>
    <w:rsid w:val="009A1772"/>
    <w:rsid w:val="009B3169"/>
    <w:rsid w:val="009C0037"/>
    <w:rsid w:val="009C1BAC"/>
    <w:rsid w:val="009C4177"/>
    <w:rsid w:val="009C79C3"/>
    <w:rsid w:val="009D1880"/>
    <w:rsid w:val="009E21CC"/>
    <w:rsid w:val="009E758A"/>
    <w:rsid w:val="009E7A27"/>
    <w:rsid w:val="009F4BFA"/>
    <w:rsid w:val="009F4E0C"/>
    <w:rsid w:val="009F7F5C"/>
    <w:rsid w:val="00A0217A"/>
    <w:rsid w:val="00A10498"/>
    <w:rsid w:val="00A16514"/>
    <w:rsid w:val="00A2796C"/>
    <w:rsid w:val="00A34C38"/>
    <w:rsid w:val="00A402CC"/>
    <w:rsid w:val="00A41F82"/>
    <w:rsid w:val="00A45F0E"/>
    <w:rsid w:val="00A4712F"/>
    <w:rsid w:val="00A67714"/>
    <w:rsid w:val="00A83AC8"/>
    <w:rsid w:val="00A847BE"/>
    <w:rsid w:val="00A87658"/>
    <w:rsid w:val="00A90CF3"/>
    <w:rsid w:val="00AA2708"/>
    <w:rsid w:val="00AA43E8"/>
    <w:rsid w:val="00AB4662"/>
    <w:rsid w:val="00AD7FBF"/>
    <w:rsid w:val="00AE139C"/>
    <w:rsid w:val="00B06D77"/>
    <w:rsid w:val="00B1013D"/>
    <w:rsid w:val="00B32D5F"/>
    <w:rsid w:val="00B34815"/>
    <w:rsid w:val="00B430B6"/>
    <w:rsid w:val="00B53305"/>
    <w:rsid w:val="00B6615F"/>
    <w:rsid w:val="00B67062"/>
    <w:rsid w:val="00B70028"/>
    <w:rsid w:val="00B76E1D"/>
    <w:rsid w:val="00BA0A25"/>
    <w:rsid w:val="00BA3F08"/>
    <w:rsid w:val="00BB3615"/>
    <w:rsid w:val="00BB4D77"/>
    <w:rsid w:val="00BC60C1"/>
    <w:rsid w:val="00BE340E"/>
    <w:rsid w:val="00BE7300"/>
    <w:rsid w:val="00BF1D10"/>
    <w:rsid w:val="00BF5A25"/>
    <w:rsid w:val="00C0381F"/>
    <w:rsid w:val="00C15F2C"/>
    <w:rsid w:val="00C21F9C"/>
    <w:rsid w:val="00C22E38"/>
    <w:rsid w:val="00C22FC1"/>
    <w:rsid w:val="00C40B68"/>
    <w:rsid w:val="00C66F6F"/>
    <w:rsid w:val="00C824BD"/>
    <w:rsid w:val="00C83F2B"/>
    <w:rsid w:val="00C92C01"/>
    <w:rsid w:val="00C933D0"/>
    <w:rsid w:val="00CA0EBF"/>
    <w:rsid w:val="00CA7208"/>
    <w:rsid w:val="00CB6D85"/>
    <w:rsid w:val="00CD449F"/>
    <w:rsid w:val="00CE0B19"/>
    <w:rsid w:val="00CE277C"/>
    <w:rsid w:val="00CE2CFC"/>
    <w:rsid w:val="00CF01EC"/>
    <w:rsid w:val="00CF744C"/>
    <w:rsid w:val="00D00596"/>
    <w:rsid w:val="00D22451"/>
    <w:rsid w:val="00D23C55"/>
    <w:rsid w:val="00D3702F"/>
    <w:rsid w:val="00D37B32"/>
    <w:rsid w:val="00D4500C"/>
    <w:rsid w:val="00D552CE"/>
    <w:rsid w:val="00D5569C"/>
    <w:rsid w:val="00D7109E"/>
    <w:rsid w:val="00D75B18"/>
    <w:rsid w:val="00DB09A3"/>
    <w:rsid w:val="00DB3AFD"/>
    <w:rsid w:val="00DB4469"/>
    <w:rsid w:val="00DD6E5C"/>
    <w:rsid w:val="00DE2CEC"/>
    <w:rsid w:val="00DF0A64"/>
    <w:rsid w:val="00E04CE0"/>
    <w:rsid w:val="00E068E9"/>
    <w:rsid w:val="00E12DA3"/>
    <w:rsid w:val="00E16350"/>
    <w:rsid w:val="00E1792C"/>
    <w:rsid w:val="00E32826"/>
    <w:rsid w:val="00E33534"/>
    <w:rsid w:val="00E356C0"/>
    <w:rsid w:val="00E37F1A"/>
    <w:rsid w:val="00E467B7"/>
    <w:rsid w:val="00E511AB"/>
    <w:rsid w:val="00E57319"/>
    <w:rsid w:val="00E626CF"/>
    <w:rsid w:val="00E62885"/>
    <w:rsid w:val="00E62A9E"/>
    <w:rsid w:val="00E724FD"/>
    <w:rsid w:val="00E76BF0"/>
    <w:rsid w:val="00E80FD0"/>
    <w:rsid w:val="00E82646"/>
    <w:rsid w:val="00E82B9F"/>
    <w:rsid w:val="00E8395C"/>
    <w:rsid w:val="00E922A9"/>
    <w:rsid w:val="00EA75FF"/>
    <w:rsid w:val="00EB3E90"/>
    <w:rsid w:val="00EB7BD4"/>
    <w:rsid w:val="00EC0388"/>
    <w:rsid w:val="00EC1974"/>
    <w:rsid w:val="00EC471F"/>
    <w:rsid w:val="00EC6C97"/>
    <w:rsid w:val="00ED3CBB"/>
    <w:rsid w:val="00EF27EF"/>
    <w:rsid w:val="00EF5EE9"/>
    <w:rsid w:val="00EF603E"/>
    <w:rsid w:val="00F023BA"/>
    <w:rsid w:val="00F05602"/>
    <w:rsid w:val="00F25D89"/>
    <w:rsid w:val="00F3112C"/>
    <w:rsid w:val="00F317A5"/>
    <w:rsid w:val="00F32D0E"/>
    <w:rsid w:val="00F52E89"/>
    <w:rsid w:val="00F56C27"/>
    <w:rsid w:val="00F63D4A"/>
    <w:rsid w:val="00F6586C"/>
    <w:rsid w:val="00F677C9"/>
    <w:rsid w:val="00F751EB"/>
    <w:rsid w:val="00F754D6"/>
    <w:rsid w:val="00F75889"/>
    <w:rsid w:val="00F81D38"/>
    <w:rsid w:val="00F83FD5"/>
    <w:rsid w:val="00F849E7"/>
    <w:rsid w:val="00F85A88"/>
    <w:rsid w:val="00F908A7"/>
    <w:rsid w:val="00F95BC0"/>
    <w:rsid w:val="00FA3C3A"/>
    <w:rsid w:val="00FA59D8"/>
    <w:rsid w:val="00FB309C"/>
    <w:rsid w:val="00FB4291"/>
    <w:rsid w:val="00FC5534"/>
    <w:rsid w:val="00FD0B3B"/>
    <w:rsid w:val="00FD6B91"/>
    <w:rsid w:val="00FE0F72"/>
    <w:rsid w:val="00FE3CA0"/>
    <w:rsid w:val="00FE4B79"/>
    <w:rsid w:val="00FE5E66"/>
    <w:rsid w:val="00FE6D8F"/>
    <w:rsid w:val="00FE7363"/>
    <w:rsid w:val="00FE78BC"/>
    <w:rsid w:val="00FF05D4"/>
    <w:rsid w:val="00FF1B95"/>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007A9"/>
  <w15:docId w15:val="{154D0673-405E-424C-AC3A-9885C77B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32"/>
      <w:szCs w:val="32"/>
    </w:rPr>
  </w:style>
  <w:style w:type="paragraph" w:styleId="Heading2">
    <w:name w:val="heading 2"/>
    <w:basedOn w:val="Normal"/>
    <w:next w:val="Normal"/>
    <w:uiPriority w:val="9"/>
    <w:semiHidden/>
    <w:unhideWhenUsed/>
    <w:qFormat/>
    <w:pPr>
      <w:ind w:hanging="720"/>
      <w:outlineLvl w:val="1"/>
    </w:pPr>
    <w:rPr>
      <w:rFonts w:ascii="Times New Roman" w:eastAsia="Times New Roman" w:hAnsi="Times New Roman" w:cs="Times New Roman"/>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styleId="ListTable5Dark-Accent1">
    <w:name w:val="List Table 5 Dark Accent 1"/>
    <w:basedOn w:val="TableNormal"/>
    <w:uiPriority w:val="50"/>
    <w:rsid w:val="00707E30"/>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1B62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B62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B62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1B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D77"/>
    <w:pPr>
      <w:ind w:left="720"/>
      <w:contextualSpacing/>
    </w:pPr>
  </w:style>
  <w:style w:type="paragraph" w:styleId="Revision">
    <w:name w:val="Revision"/>
    <w:hidden/>
    <w:uiPriority w:val="99"/>
    <w:semiHidden/>
    <w:rsid w:val="0019197A"/>
    <w:pPr>
      <w:spacing w:after="0" w:line="240" w:lineRule="auto"/>
      <w:ind w:left="0" w:firstLine="0"/>
    </w:pPr>
  </w:style>
  <w:style w:type="paragraph" w:styleId="Caption">
    <w:name w:val="caption"/>
    <w:basedOn w:val="Normal"/>
    <w:next w:val="Normal"/>
    <w:uiPriority w:val="35"/>
    <w:unhideWhenUsed/>
    <w:qFormat/>
    <w:rsid w:val="001571FE"/>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813A69"/>
    <w:rPr>
      <w:sz w:val="16"/>
      <w:szCs w:val="16"/>
    </w:rPr>
  </w:style>
  <w:style w:type="paragraph" w:styleId="CommentText">
    <w:name w:val="annotation text"/>
    <w:basedOn w:val="Normal"/>
    <w:link w:val="CommentTextChar"/>
    <w:uiPriority w:val="99"/>
    <w:unhideWhenUsed/>
    <w:rsid w:val="00813A69"/>
    <w:pPr>
      <w:spacing w:line="240" w:lineRule="auto"/>
    </w:pPr>
    <w:rPr>
      <w:sz w:val="20"/>
      <w:szCs w:val="20"/>
    </w:rPr>
  </w:style>
  <w:style w:type="character" w:customStyle="1" w:styleId="CommentTextChar">
    <w:name w:val="Comment Text Char"/>
    <w:basedOn w:val="DefaultParagraphFont"/>
    <w:link w:val="CommentText"/>
    <w:uiPriority w:val="99"/>
    <w:rsid w:val="00813A69"/>
    <w:rPr>
      <w:sz w:val="20"/>
      <w:szCs w:val="20"/>
    </w:rPr>
  </w:style>
  <w:style w:type="paragraph" w:styleId="CommentSubject">
    <w:name w:val="annotation subject"/>
    <w:basedOn w:val="CommentText"/>
    <w:next w:val="CommentText"/>
    <w:link w:val="CommentSubjectChar"/>
    <w:uiPriority w:val="99"/>
    <w:semiHidden/>
    <w:unhideWhenUsed/>
    <w:rsid w:val="00813A69"/>
    <w:rPr>
      <w:b/>
      <w:bCs/>
    </w:rPr>
  </w:style>
  <w:style w:type="character" w:customStyle="1" w:styleId="CommentSubjectChar">
    <w:name w:val="Comment Subject Char"/>
    <w:basedOn w:val="CommentTextChar"/>
    <w:link w:val="CommentSubject"/>
    <w:uiPriority w:val="99"/>
    <w:semiHidden/>
    <w:rsid w:val="00813A69"/>
    <w:rPr>
      <w:b/>
      <w:bCs/>
      <w:sz w:val="20"/>
      <w:szCs w:val="20"/>
    </w:rPr>
  </w:style>
  <w:style w:type="paragraph" w:styleId="Header">
    <w:name w:val="header"/>
    <w:basedOn w:val="Normal"/>
    <w:link w:val="HeaderChar"/>
    <w:uiPriority w:val="99"/>
    <w:unhideWhenUsed/>
    <w:rsid w:val="00910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9AA"/>
  </w:style>
  <w:style w:type="paragraph" w:styleId="NormalWeb">
    <w:name w:val="Normal (Web)"/>
    <w:basedOn w:val="Normal"/>
    <w:uiPriority w:val="99"/>
    <w:unhideWhenUsed/>
    <w:rsid w:val="00471282"/>
    <w:pPr>
      <w:spacing w:before="100" w:beforeAutospacing="1" w:after="100" w:afterAutospacing="1" w:line="240" w:lineRule="auto"/>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0323">
      <w:bodyDiv w:val="1"/>
      <w:marLeft w:val="0"/>
      <w:marRight w:val="0"/>
      <w:marTop w:val="0"/>
      <w:marBottom w:val="0"/>
      <w:divBdr>
        <w:top w:val="none" w:sz="0" w:space="0" w:color="auto"/>
        <w:left w:val="none" w:sz="0" w:space="0" w:color="auto"/>
        <w:bottom w:val="none" w:sz="0" w:space="0" w:color="auto"/>
        <w:right w:val="none" w:sz="0" w:space="0" w:color="auto"/>
      </w:divBdr>
    </w:div>
    <w:div w:id="67655641">
      <w:bodyDiv w:val="1"/>
      <w:marLeft w:val="0"/>
      <w:marRight w:val="0"/>
      <w:marTop w:val="0"/>
      <w:marBottom w:val="0"/>
      <w:divBdr>
        <w:top w:val="none" w:sz="0" w:space="0" w:color="auto"/>
        <w:left w:val="none" w:sz="0" w:space="0" w:color="auto"/>
        <w:bottom w:val="none" w:sz="0" w:space="0" w:color="auto"/>
        <w:right w:val="none" w:sz="0" w:space="0" w:color="auto"/>
      </w:divBdr>
    </w:div>
    <w:div w:id="1313757210">
      <w:bodyDiv w:val="1"/>
      <w:marLeft w:val="0"/>
      <w:marRight w:val="0"/>
      <w:marTop w:val="0"/>
      <w:marBottom w:val="0"/>
      <w:divBdr>
        <w:top w:val="none" w:sz="0" w:space="0" w:color="auto"/>
        <w:left w:val="none" w:sz="0" w:space="0" w:color="auto"/>
        <w:bottom w:val="none" w:sz="0" w:space="0" w:color="auto"/>
        <w:right w:val="none" w:sz="0" w:space="0" w:color="auto"/>
      </w:divBdr>
    </w:div>
    <w:div w:id="1375231095">
      <w:bodyDiv w:val="1"/>
      <w:marLeft w:val="0"/>
      <w:marRight w:val="0"/>
      <w:marTop w:val="0"/>
      <w:marBottom w:val="0"/>
      <w:divBdr>
        <w:top w:val="none" w:sz="0" w:space="0" w:color="auto"/>
        <w:left w:val="none" w:sz="0" w:space="0" w:color="auto"/>
        <w:bottom w:val="none" w:sz="0" w:space="0" w:color="auto"/>
        <w:right w:val="none" w:sz="0" w:space="0" w:color="auto"/>
      </w:divBdr>
    </w:div>
    <w:div w:id="1395087346">
      <w:bodyDiv w:val="1"/>
      <w:marLeft w:val="0"/>
      <w:marRight w:val="0"/>
      <w:marTop w:val="0"/>
      <w:marBottom w:val="0"/>
      <w:divBdr>
        <w:top w:val="none" w:sz="0" w:space="0" w:color="auto"/>
        <w:left w:val="none" w:sz="0" w:space="0" w:color="auto"/>
        <w:bottom w:val="none" w:sz="0" w:space="0" w:color="auto"/>
        <w:right w:val="none" w:sz="0" w:space="0" w:color="auto"/>
      </w:divBdr>
    </w:div>
    <w:div w:id="2119056354">
      <w:bodyDiv w:val="1"/>
      <w:marLeft w:val="0"/>
      <w:marRight w:val="0"/>
      <w:marTop w:val="0"/>
      <w:marBottom w:val="0"/>
      <w:divBdr>
        <w:top w:val="none" w:sz="0" w:space="0" w:color="auto"/>
        <w:left w:val="none" w:sz="0" w:space="0" w:color="auto"/>
        <w:bottom w:val="none" w:sz="0" w:space="0" w:color="auto"/>
        <w:right w:val="none" w:sz="0" w:space="0" w:color="auto"/>
      </w:divBdr>
    </w:div>
    <w:div w:id="2125221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Figure 1: Number of applications received Per Quarter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Applications Received</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4"/>
                <c:pt idx="0">
                  <c:v>Q2 FY 22</c:v>
                </c:pt>
                <c:pt idx="1">
                  <c:v>Q3 FY 22</c:v>
                </c:pt>
                <c:pt idx="2">
                  <c:v>Q4 FY 22</c:v>
                </c:pt>
                <c:pt idx="3">
                  <c:v>Q1 FY 23</c:v>
                </c:pt>
              </c:strCache>
            </c:strRef>
          </c:cat>
          <c:val>
            <c:numRef>
              <c:f>Sheet1!$B$2:$B$5</c:f>
              <c:numCache>
                <c:formatCode>General</c:formatCode>
                <c:ptCount val="4"/>
                <c:pt idx="0">
                  <c:v>200</c:v>
                </c:pt>
                <c:pt idx="1">
                  <c:v>154</c:v>
                </c:pt>
                <c:pt idx="2">
                  <c:v>262</c:v>
                </c:pt>
                <c:pt idx="3">
                  <c:v>149</c:v>
                </c:pt>
              </c:numCache>
            </c:numRef>
          </c:val>
          <c:smooth val="0"/>
          <c:extLst>
            <c:ext xmlns:c16="http://schemas.microsoft.com/office/drawing/2014/chart" uri="{C3380CC4-5D6E-409C-BE32-E72D297353CC}">
              <c16:uniqueId val="{00000000-7124-4D84-8B84-934727C2F104}"/>
            </c:ext>
          </c:extLst>
        </c:ser>
        <c:dLbls>
          <c:showLegendKey val="0"/>
          <c:showVal val="0"/>
          <c:showCatName val="0"/>
          <c:showSerName val="0"/>
          <c:showPercent val="0"/>
          <c:showBubbleSize val="0"/>
        </c:dLbls>
        <c:marker val="1"/>
        <c:smooth val="0"/>
        <c:axId val="1976824176"/>
        <c:axId val="1976814608"/>
      </c:lineChart>
      <c:catAx>
        <c:axId val="1976824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76814608"/>
        <c:crosses val="autoZero"/>
        <c:auto val="1"/>
        <c:lblAlgn val="ctr"/>
        <c:lblOffset val="100"/>
        <c:noMultiLvlLbl val="0"/>
      </c:catAx>
      <c:valAx>
        <c:axId val="197681460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8241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100"/>
              <a:t>Figure 2: Number of Applications Approved versus Average Number of Days Applications Pending Prior to Approval</a:t>
            </a:r>
            <a:r>
              <a:rPr lang="en-US"/>
              <a: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applications approved </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dLbls>
            <c:dLbl>
              <c:idx val="3"/>
              <c:layout>
                <c:manualLayout>
                  <c:x val="4.6296296296296294E-3"/>
                  <c:y val="4.28327645051194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18-4873-872E-F16AD7FCC1D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Q2 FY22</c:v>
                </c:pt>
                <c:pt idx="1">
                  <c:v>Q3 FY22</c:v>
                </c:pt>
                <c:pt idx="2">
                  <c:v>Q4 FY22</c:v>
                </c:pt>
              </c:strCache>
            </c:strRef>
          </c:cat>
          <c:val>
            <c:numRef>
              <c:f>Sheet1!$B$2:$B$5</c:f>
              <c:numCache>
                <c:formatCode>General</c:formatCode>
                <c:ptCount val="4"/>
                <c:pt idx="0">
                  <c:v>200</c:v>
                </c:pt>
                <c:pt idx="1">
                  <c:v>108</c:v>
                </c:pt>
                <c:pt idx="2">
                  <c:v>165</c:v>
                </c:pt>
                <c:pt idx="3">
                  <c:v>80</c:v>
                </c:pt>
              </c:numCache>
            </c:numRef>
          </c:val>
          <c:extLst>
            <c:ext xmlns:c16="http://schemas.microsoft.com/office/drawing/2014/chart" uri="{C3380CC4-5D6E-409C-BE32-E72D297353CC}">
              <c16:uniqueId val="{00000000-DFB0-4F70-9154-036A16D94334}"/>
            </c:ext>
          </c:extLst>
        </c:ser>
        <c:dLbls>
          <c:showLegendKey val="0"/>
          <c:showVal val="0"/>
          <c:showCatName val="0"/>
          <c:showSerName val="0"/>
          <c:showPercent val="0"/>
          <c:showBubbleSize val="0"/>
        </c:dLbls>
        <c:gapWidth val="219"/>
        <c:overlap val="-27"/>
        <c:axId val="1772715184"/>
        <c:axId val="1772715600"/>
      </c:barChart>
      <c:lineChart>
        <c:grouping val="standard"/>
        <c:varyColors val="0"/>
        <c:ser>
          <c:idx val="1"/>
          <c:order val="1"/>
          <c:tx>
            <c:strRef>
              <c:f>Sheet1!$C$1</c:f>
              <c:strCache>
                <c:ptCount val="1"/>
                <c:pt idx="0">
                  <c:v>Average # of days application pending before approval</c:v>
                </c:pt>
              </c:strCache>
            </c:strRef>
          </c:tx>
          <c:spPr>
            <a:ln w="31750" cap="rnd">
              <a:solidFill>
                <a:srgbClr val="00B050"/>
              </a:solidFill>
              <a:round/>
            </a:ln>
            <a:effectLst>
              <a:outerShdw blurRad="40000" dist="23000" dir="5400000" rotWithShape="0">
                <a:srgbClr val="000000">
                  <a:alpha val="35000"/>
                </a:srgbClr>
              </a:outerShdw>
            </a:effectLst>
          </c:spPr>
          <c:marker>
            <c:symbol val="circle"/>
            <c:size val="6"/>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w="12700">
                <a:solidFill>
                  <a:schemeClr val="lt2"/>
                </a:solidFill>
                <a:round/>
              </a:ln>
              <a:effectLst>
                <a:outerShdw blurRad="40000" dist="23000" dir="5400000" rotWithShape="0">
                  <a:srgbClr val="000000">
                    <a:alpha val="35000"/>
                  </a:srgbClr>
                </a:outerShdw>
              </a:effectLst>
            </c:spPr>
          </c:marker>
          <c:dLbls>
            <c:dLbl>
              <c:idx val="3"/>
              <c:layout>
                <c:manualLayout>
                  <c:x val="-1.8507035578885979E-2"/>
                  <c:y val="-1.6296928327645049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2"/>
                        </a:solidFill>
                        <a:latin typeface="+mn-lt"/>
                        <a:ea typeface="+mn-ea"/>
                        <a:cs typeface="+mn-cs"/>
                      </a:defRPr>
                    </a:pPr>
                    <a:r>
                      <a:rPr lang="en-US"/>
                      <a:t>202</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2"/>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7.4050925925925909E-2"/>
                      <c:h val="8.0375426621160401E-2"/>
                    </c:manualLayout>
                  </c15:layout>
                  <c15:showDataLabelsRange val="0"/>
                </c:ext>
                <c:ext xmlns:c16="http://schemas.microsoft.com/office/drawing/2014/chart" uri="{C3380CC4-5D6E-409C-BE32-E72D297353CC}">
                  <c16:uniqueId val="{00000002-A0BA-4412-B678-C3D97636EB5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Q2 FY22</c:v>
                </c:pt>
                <c:pt idx="1">
                  <c:v>Q3 FY22</c:v>
                </c:pt>
                <c:pt idx="2">
                  <c:v>Q4 FY22</c:v>
                </c:pt>
                <c:pt idx="3">
                  <c:v>Q1 FY23</c:v>
                </c:pt>
              </c:strCache>
            </c:strRef>
          </c:cat>
          <c:val>
            <c:numRef>
              <c:f>Sheet1!$C$2:$C$5</c:f>
              <c:numCache>
                <c:formatCode>General</c:formatCode>
                <c:ptCount val="4"/>
                <c:pt idx="0">
                  <c:v>231</c:v>
                </c:pt>
                <c:pt idx="1">
                  <c:v>188</c:v>
                </c:pt>
                <c:pt idx="2">
                  <c:v>233</c:v>
                </c:pt>
                <c:pt idx="3">
                  <c:v>202</c:v>
                </c:pt>
              </c:numCache>
            </c:numRef>
          </c:val>
          <c:smooth val="0"/>
          <c:extLst>
            <c:ext xmlns:c16="http://schemas.microsoft.com/office/drawing/2014/chart" uri="{C3380CC4-5D6E-409C-BE32-E72D297353CC}">
              <c16:uniqueId val="{00000001-DFB0-4F70-9154-036A16D94334}"/>
            </c:ext>
          </c:extLst>
        </c:ser>
        <c:ser>
          <c:idx val="2"/>
          <c:order val="2"/>
          <c:tx>
            <c:strRef>
              <c:f>Sheet1!$D$1</c:f>
              <c:strCache>
                <c:ptCount val="1"/>
                <c:pt idx="0">
                  <c:v>270-day statutory requirement for processing applications for approval or rejection</c:v>
                </c:pt>
              </c:strCache>
            </c:strRef>
          </c:tx>
          <c:spPr>
            <a:ln w="31750" cap="rnd">
              <a:solidFill>
                <a:srgbClr val="FF0000"/>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Q2 FY22</c:v>
                </c:pt>
                <c:pt idx="1">
                  <c:v>Q3 FY22</c:v>
                </c:pt>
                <c:pt idx="2">
                  <c:v>Q4 FY22</c:v>
                </c:pt>
                <c:pt idx="3">
                  <c:v>Q1 FY23</c:v>
                </c:pt>
              </c:strCache>
            </c:strRef>
          </c:cat>
          <c:val>
            <c:numRef>
              <c:f>Sheet1!$D$2:$D$5</c:f>
              <c:numCache>
                <c:formatCode>General</c:formatCode>
                <c:ptCount val="4"/>
                <c:pt idx="0">
                  <c:v>270</c:v>
                </c:pt>
                <c:pt idx="1">
                  <c:v>270</c:v>
                </c:pt>
                <c:pt idx="2">
                  <c:v>270</c:v>
                </c:pt>
                <c:pt idx="3">
                  <c:v>270</c:v>
                </c:pt>
              </c:numCache>
            </c:numRef>
          </c:val>
          <c:smooth val="0"/>
          <c:extLst>
            <c:ext xmlns:c16="http://schemas.microsoft.com/office/drawing/2014/chart" uri="{C3380CC4-5D6E-409C-BE32-E72D297353CC}">
              <c16:uniqueId val="{00000002-DFB0-4F70-9154-036A16D94334}"/>
            </c:ext>
          </c:extLst>
        </c:ser>
        <c:dLbls>
          <c:showLegendKey val="0"/>
          <c:showVal val="0"/>
          <c:showCatName val="0"/>
          <c:showSerName val="0"/>
          <c:showPercent val="0"/>
          <c:showBubbleSize val="0"/>
        </c:dLbls>
        <c:marker val="1"/>
        <c:smooth val="0"/>
        <c:axId val="1772715184"/>
        <c:axId val="1772715600"/>
      </c:lineChart>
      <c:catAx>
        <c:axId val="17727151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72715600"/>
        <c:crosses val="autoZero"/>
        <c:auto val="1"/>
        <c:lblAlgn val="ctr"/>
        <c:lblOffset val="100"/>
        <c:noMultiLvlLbl val="0"/>
      </c:catAx>
      <c:valAx>
        <c:axId val="17727156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7271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19AA-4C5C-469E-B27B-BFFFCF72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2836</Words>
  <Characters>16171</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MichaelARadney</dc:creator>
  <cp:keywords/>
  <dc:description/>
  <cp:lastModifiedBy>MichaelARadney</cp:lastModifiedBy>
  <cp:revision>11</cp:revision>
  <dcterms:created xsi:type="dcterms:W3CDTF">2023-04-05T10:58:00Z</dcterms:created>
  <dcterms:modified xsi:type="dcterms:W3CDTF">2023-04-11T12:37:00Z</dcterms:modified>
</cp:coreProperties>
</file>