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3B" w:rsidRPr="00B9023B" w:rsidRDefault="00B9023B" w:rsidP="00B9023B">
      <w:pPr>
        <w:spacing w:after="150" w:line="264" w:lineRule="atLeast"/>
        <w:outlineLvl w:val="1"/>
        <w:rPr>
          <w:rFonts w:ascii="Helvetica" w:eastAsia="Times New Roman" w:hAnsi="Helvetica" w:cs="Helvetica"/>
          <w:color w:val="333333"/>
          <w:sz w:val="46"/>
          <w:szCs w:val="46"/>
        </w:rPr>
      </w:pP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>FY 201</w:t>
      </w:r>
      <w:r w:rsidR="0095712F">
        <w:rPr>
          <w:rFonts w:ascii="Helvetica" w:eastAsia="Times New Roman" w:hAnsi="Helvetica" w:cs="Helvetica"/>
          <w:color w:val="333333"/>
          <w:sz w:val="46"/>
          <w:szCs w:val="46"/>
        </w:rPr>
        <w:t>7</w:t>
      </w: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 xml:space="preserve"> Highlights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GSA establishes the p</w:t>
      </w:r>
      <w:r w:rsidR="00CA4ABC">
        <w:rPr>
          <w:rFonts w:eastAsia="Times New Roman" w:cs="Arial"/>
          <w:color w:val="333333"/>
          <w:sz w:val="20"/>
          <w:szCs w:val="20"/>
        </w:rPr>
        <w:t>er diem rates for the lower 48 C</w:t>
      </w:r>
      <w:r w:rsidRPr="003F21DB">
        <w:rPr>
          <w:rFonts w:eastAsia="Times New Roman" w:cs="Arial"/>
          <w:color w:val="333333"/>
          <w:sz w:val="20"/>
          <w:szCs w:val="20"/>
        </w:rPr>
        <w:t>ontinental United States (CONUS), which are the maximum allowances that federal employees are reimbursed for expenses incurred while on official travel.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The CONUS per diem rate for an area is actually three allowances: the lodging allowance, the meals allowance and the incidental expense allowance. Most of the CONUS (approximately 2600 counties) are covered by the standard CONUS per diem rate of $1</w:t>
      </w:r>
      <w:r w:rsidR="00BD25CD">
        <w:rPr>
          <w:rFonts w:eastAsia="Times New Roman" w:cs="Arial"/>
          <w:color w:val="333333"/>
          <w:sz w:val="20"/>
          <w:szCs w:val="20"/>
        </w:rPr>
        <w:t>4</w:t>
      </w:r>
      <w:r w:rsidR="0095712F">
        <w:rPr>
          <w:rFonts w:eastAsia="Times New Roman" w:cs="Arial"/>
          <w:color w:val="333333"/>
          <w:sz w:val="20"/>
          <w:szCs w:val="20"/>
        </w:rPr>
        <w:t>2</w:t>
      </w:r>
      <w:r w:rsidR="00575995" w:rsidRPr="003F21DB">
        <w:rPr>
          <w:rFonts w:eastAsia="Times New Roman" w:cs="Arial"/>
          <w:color w:val="333333"/>
          <w:sz w:val="20"/>
          <w:szCs w:val="20"/>
        </w:rPr>
        <w:t xml:space="preserve"> ($</w:t>
      </w:r>
      <w:r w:rsidR="00BD25CD">
        <w:rPr>
          <w:rFonts w:eastAsia="Times New Roman" w:cs="Arial"/>
          <w:color w:val="333333"/>
          <w:sz w:val="20"/>
          <w:szCs w:val="20"/>
        </w:rPr>
        <w:t>9</w:t>
      </w:r>
      <w:r w:rsidR="0095712F">
        <w:rPr>
          <w:rFonts w:eastAsia="Times New Roman" w:cs="Arial"/>
          <w:color w:val="333333"/>
          <w:sz w:val="20"/>
          <w:szCs w:val="20"/>
        </w:rPr>
        <w:t>1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lodging, $</w:t>
      </w:r>
      <w:r w:rsidR="00BD25CD">
        <w:rPr>
          <w:rFonts w:eastAsia="Times New Roman" w:cs="Arial"/>
          <w:color w:val="333333"/>
          <w:sz w:val="20"/>
          <w:szCs w:val="20"/>
        </w:rPr>
        <w:t>51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meals and incidental expenses). In fiscal year (FY) 201</w:t>
      </w:r>
      <w:r w:rsidR="0095712F">
        <w:rPr>
          <w:rFonts w:eastAsia="Times New Roman" w:cs="Arial"/>
          <w:color w:val="333333"/>
          <w:sz w:val="20"/>
          <w:szCs w:val="20"/>
        </w:rPr>
        <w:t>7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, there </w:t>
      </w:r>
      <w:r w:rsidR="0095712F">
        <w:rPr>
          <w:rFonts w:eastAsia="Times New Roman" w:cs="Arial"/>
          <w:color w:val="333333"/>
          <w:sz w:val="20"/>
          <w:szCs w:val="20"/>
        </w:rPr>
        <w:t xml:space="preserve">are 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about </w:t>
      </w:r>
      <w:r w:rsidR="0095712F">
        <w:rPr>
          <w:rFonts w:eastAsia="Times New Roman" w:cs="Arial"/>
          <w:color w:val="333333"/>
          <w:sz w:val="20"/>
          <w:szCs w:val="20"/>
        </w:rPr>
        <w:t>350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Non-Standard Areas (NSAs) that have per diem rates higher than the standard CONUS rate.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Since FY 2005, NSA rates have been based on Average Daily Rate (ADR) data from the lodging industry, which GSA obtains through a contract with a leading provider of lodging industry data. For more about how per diem rates are determined, visit </w:t>
      </w:r>
      <w:hyperlink r:id="rId6" w:tgtFrame="_self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Factors Influencing Lodging Rates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. The ADR is a widely accepted lodging-industry measure based upon a property's room rental revenue divided by the number of rooms rented as reported by the hotel property to the contractor. This calculation provides </w:t>
      </w:r>
      <w:r w:rsidR="00CA4ABC">
        <w:rPr>
          <w:rFonts w:eastAsia="Times New Roman" w:cs="Arial"/>
          <w:color w:val="333333"/>
          <w:sz w:val="20"/>
          <w:szCs w:val="20"/>
        </w:rPr>
        <w:t>GSA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with the average rate in a given area.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As in previous years, GSA still uses: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Only "fire safe" properties; GSA is required by law to use only </w:t>
      </w:r>
      <w:hyperlink r:id="rId7" w:tgtFrame="_self" w:history="1">
        <w:r w:rsidRPr="003F21DB">
          <w:rPr>
            <w:rFonts w:eastAsia="Times New Roman" w:cs="Arial"/>
            <w:color w:val="282E8C"/>
            <w:sz w:val="20"/>
            <w:szCs w:val="20"/>
          </w:rPr>
          <w:t>properties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> that are certified as being in compliance with the Hotel &amp; Motel Fire Safety Act of 1990.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Properties that fall within the mid-price range. 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Data from the prior 12-month period.  For FY 201</w:t>
      </w:r>
      <w:r w:rsidR="0095712F">
        <w:rPr>
          <w:rFonts w:eastAsia="Times New Roman" w:cs="Arial"/>
          <w:color w:val="333333"/>
          <w:sz w:val="20"/>
          <w:szCs w:val="20"/>
        </w:rPr>
        <w:t>7</w:t>
      </w:r>
      <w:r w:rsidRPr="003F21DB">
        <w:rPr>
          <w:rFonts w:eastAsia="Times New Roman" w:cs="Arial"/>
          <w:color w:val="333333"/>
          <w:sz w:val="20"/>
          <w:szCs w:val="20"/>
        </w:rPr>
        <w:t>, this is from April 201</w:t>
      </w:r>
      <w:r w:rsidR="0095712F">
        <w:rPr>
          <w:rFonts w:eastAsia="Times New Roman" w:cs="Arial"/>
          <w:color w:val="333333"/>
          <w:sz w:val="20"/>
          <w:szCs w:val="20"/>
        </w:rPr>
        <w:t>5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through March 201</w:t>
      </w:r>
      <w:r w:rsidR="0095712F">
        <w:rPr>
          <w:rFonts w:eastAsia="Times New Roman" w:cs="Arial"/>
          <w:color w:val="333333"/>
          <w:sz w:val="20"/>
          <w:szCs w:val="20"/>
        </w:rPr>
        <w:t>6</w:t>
      </w:r>
      <w:r w:rsidRPr="003F21DB">
        <w:rPr>
          <w:rFonts w:eastAsia="Times New Roman" w:cs="Arial"/>
          <w:color w:val="333333"/>
          <w:sz w:val="20"/>
          <w:szCs w:val="20"/>
        </w:rPr>
        <w:t>;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Business travel week data (Monday through Thursday)</w:t>
      </w:r>
      <w:r w:rsidR="00A53D44">
        <w:rPr>
          <w:rFonts w:eastAsia="Times New Roman" w:cs="Arial"/>
          <w:color w:val="333333"/>
          <w:sz w:val="20"/>
          <w:szCs w:val="20"/>
        </w:rPr>
        <w:t>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Agencies are reminded that the Federal Travel Regulation allows for actual expense reimbursement when per diem rates are insufficient to meet necessary expenses. Please see </w:t>
      </w:r>
      <w:hyperlink r:id="rId8" w:anchor="wp1089939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FTR §301-11.300 through 306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 for more information.</w:t>
      </w:r>
    </w:p>
    <w:p w:rsidR="009219B7" w:rsidRDefault="00B9023B" w:rsidP="003F21DB">
      <w:pPr>
        <w:rPr>
          <w:rFonts w:eastAsia="Times New Roman" w:cs="Arial"/>
          <w:sz w:val="20"/>
          <w:szCs w:val="20"/>
        </w:rPr>
      </w:pP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FY </w:t>
      </w:r>
      <w:r w:rsidR="00575995" w:rsidRPr="003F21DB">
        <w:rPr>
          <w:rFonts w:eastAsia="Times New Roman" w:cs="Arial"/>
          <w:b/>
          <w:bCs/>
          <w:color w:val="333333"/>
          <w:sz w:val="20"/>
          <w:szCs w:val="20"/>
        </w:rPr>
        <w:t>20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>1</w:t>
      </w:r>
      <w:r w:rsidR="0095712F">
        <w:rPr>
          <w:rFonts w:eastAsia="Times New Roman" w:cs="Arial"/>
          <w:b/>
          <w:bCs/>
          <w:color w:val="333333"/>
          <w:sz w:val="20"/>
          <w:szCs w:val="20"/>
        </w:rPr>
        <w:t>7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 Results</w:t>
      </w:r>
      <w:proofErr w:type="gramStart"/>
      <w:r w:rsidRPr="003F21DB">
        <w:rPr>
          <w:rFonts w:eastAsia="Times New Roman" w:cs="Arial"/>
          <w:b/>
          <w:bCs/>
          <w:color w:val="333333"/>
          <w:sz w:val="20"/>
          <w:szCs w:val="20"/>
        </w:rPr>
        <w:t>:</w:t>
      </w:r>
      <w:bookmarkStart w:id="0" w:name="_GoBack"/>
      <w:bookmarkEnd w:id="0"/>
      <w:proofErr w:type="gramEnd"/>
      <w:r w:rsidRPr="003F21DB">
        <w:rPr>
          <w:rFonts w:eastAsia="Times New Roman" w:cs="Arial"/>
          <w:color w:val="333333"/>
          <w:sz w:val="20"/>
          <w:szCs w:val="20"/>
        </w:rPr>
        <w:br/>
      </w:r>
      <w:r w:rsidRPr="003F21DB">
        <w:rPr>
          <w:rFonts w:eastAsia="Times New Roman" w:cs="Arial"/>
          <w:color w:val="333333"/>
          <w:sz w:val="20"/>
          <w:szCs w:val="20"/>
        </w:rPr>
        <w:br/>
      </w:r>
      <w:r w:rsidR="0095712F">
        <w:rPr>
          <w:rFonts w:eastAsia="Times New Roman" w:cs="Arial"/>
          <w:sz w:val="20"/>
          <w:szCs w:val="20"/>
        </w:rPr>
        <w:t>There are no new NSA locations this year.</w:t>
      </w:r>
    </w:p>
    <w:p w:rsidR="00B9023B" w:rsidRDefault="00B9023B" w:rsidP="00B9023B">
      <w:pPr>
        <w:spacing w:after="0" w:line="240" w:lineRule="atLeast"/>
        <w:rPr>
          <w:rFonts w:eastAsia="Times New Roman" w:cs="Arial"/>
          <w:sz w:val="20"/>
          <w:szCs w:val="20"/>
        </w:rPr>
      </w:pPr>
      <w:r w:rsidRPr="00286D45">
        <w:rPr>
          <w:rFonts w:eastAsia="Times New Roman" w:cs="Arial"/>
          <w:sz w:val="20"/>
          <w:szCs w:val="20"/>
        </w:rPr>
        <w:t>In FY 201</w:t>
      </w:r>
      <w:r w:rsidR="0095712F">
        <w:rPr>
          <w:rFonts w:eastAsia="Times New Roman" w:cs="Arial"/>
          <w:sz w:val="20"/>
          <w:szCs w:val="20"/>
        </w:rPr>
        <w:t>7</w:t>
      </w:r>
      <w:r w:rsidRPr="00286D45">
        <w:rPr>
          <w:rFonts w:eastAsia="Times New Roman" w:cs="Arial"/>
          <w:sz w:val="20"/>
          <w:szCs w:val="20"/>
        </w:rPr>
        <w:t xml:space="preserve">, </w:t>
      </w:r>
      <w:r w:rsidR="0095712F">
        <w:rPr>
          <w:rFonts w:eastAsia="Times New Roman" w:cs="Arial"/>
          <w:sz w:val="20"/>
          <w:szCs w:val="20"/>
        </w:rPr>
        <w:t xml:space="preserve">three </w:t>
      </w:r>
      <w:r w:rsidRPr="00286D45">
        <w:rPr>
          <w:rFonts w:eastAsia="Times New Roman" w:cs="Arial"/>
          <w:sz w:val="20"/>
          <w:szCs w:val="20"/>
        </w:rPr>
        <w:t xml:space="preserve">locations </w:t>
      </w:r>
      <w:r w:rsidR="00575995" w:rsidRPr="00286D45">
        <w:rPr>
          <w:rFonts w:eastAsia="Times New Roman" w:cs="Arial"/>
          <w:sz w:val="20"/>
          <w:szCs w:val="20"/>
        </w:rPr>
        <w:t>that were NSAs in FY 201</w:t>
      </w:r>
      <w:r w:rsidR="0095712F">
        <w:rPr>
          <w:rFonts w:eastAsia="Times New Roman" w:cs="Arial"/>
          <w:sz w:val="20"/>
          <w:szCs w:val="20"/>
        </w:rPr>
        <w:t>6</w:t>
      </w:r>
      <w:r w:rsidR="00575995" w:rsidRPr="00286D45">
        <w:rPr>
          <w:rFonts w:eastAsia="Times New Roman" w:cs="Arial"/>
          <w:sz w:val="20"/>
          <w:szCs w:val="20"/>
        </w:rPr>
        <w:t xml:space="preserve"> will </w:t>
      </w:r>
      <w:r w:rsidRPr="00286D45">
        <w:rPr>
          <w:rFonts w:eastAsia="Times New Roman" w:cs="Arial"/>
          <w:sz w:val="20"/>
          <w:szCs w:val="20"/>
        </w:rPr>
        <w:t xml:space="preserve">move into the standard CONUS rate category. </w:t>
      </w:r>
      <w:r w:rsidR="00575995" w:rsidRPr="00286D45">
        <w:rPr>
          <w:rFonts w:eastAsia="Times New Roman" w:cs="Arial"/>
          <w:sz w:val="20"/>
          <w:szCs w:val="20"/>
        </w:rPr>
        <w:t>They include:</w:t>
      </w:r>
    </w:p>
    <w:p w:rsidR="009219B7" w:rsidRDefault="009219B7" w:rsidP="00B9023B">
      <w:pPr>
        <w:spacing w:after="0" w:line="240" w:lineRule="atLeast"/>
        <w:rPr>
          <w:rFonts w:eastAsia="Times New Roman" w:cs="Arial"/>
          <w:sz w:val="20"/>
          <w:szCs w:val="20"/>
        </w:rPr>
      </w:pPr>
    </w:p>
    <w:tbl>
      <w:tblPr>
        <w:tblStyle w:val="LightList-Accent1"/>
        <w:tblW w:w="7200" w:type="dxa"/>
        <w:tblLook w:val="0420" w:firstRow="1" w:lastRow="0" w:firstColumn="0" w:lastColumn="0" w:noHBand="0" w:noVBand="1"/>
      </w:tblPr>
      <w:tblGrid>
        <w:gridCol w:w="7200"/>
      </w:tblGrid>
      <w:tr w:rsidR="009219B7" w:rsidRPr="009219B7" w:rsidTr="005D4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7200" w:type="dxa"/>
            <w:hideMark/>
          </w:tcPr>
          <w:p w:rsidR="009219B7" w:rsidRPr="009219B7" w:rsidRDefault="005D4B2E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bCs w:val="0"/>
                <w:kern w:val="24"/>
                <w:sz w:val="24"/>
                <w:szCs w:val="24"/>
              </w:rPr>
              <w:t>Destination/State</w:t>
            </w:r>
          </w:p>
        </w:tc>
      </w:tr>
      <w:tr w:rsidR="005D4B2E" w:rsidRPr="005D4B2E" w:rsidTr="00C7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7200" w:type="dxa"/>
          </w:tcPr>
          <w:p w:rsidR="005D4B2E" w:rsidRPr="005D4B2E" w:rsidRDefault="0095712F" w:rsidP="009219B7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3399"/>
                <w:kern w:val="24"/>
                <w:sz w:val="24"/>
                <w:szCs w:val="24"/>
              </w:rPr>
              <w:t>Lexington Park / Leonardtown/ Lusby, MD</w:t>
            </w:r>
          </w:p>
        </w:tc>
      </w:tr>
      <w:tr w:rsidR="009219B7" w:rsidRPr="009219B7" w:rsidTr="005D4B2E">
        <w:trPr>
          <w:trHeight w:val="412"/>
        </w:trPr>
        <w:tc>
          <w:tcPr>
            <w:tcW w:w="7200" w:type="dxa"/>
            <w:hideMark/>
          </w:tcPr>
          <w:p w:rsidR="009219B7" w:rsidRPr="009219B7" w:rsidRDefault="0095712F" w:rsidP="009219B7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New Bern, NC</w:t>
            </w:r>
          </w:p>
        </w:tc>
      </w:tr>
      <w:tr w:rsidR="009219B7" w:rsidRPr="009219B7" w:rsidTr="005D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7200" w:type="dxa"/>
            <w:hideMark/>
          </w:tcPr>
          <w:p w:rsidR="009219B7" w:rsidRPr="009219B7" w:rsidRDefault="0095712F" w:rsidP="009219B7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color w:val="013C88"/>
                <w:kern w:val="24"/>
                <w:sz w:val="24"/>
                <w:szCs w:val="24"/>
              </w:rPr>
              <w:t>Minot, ND</w:t>
            </w:r>
          </w:p>
        </w:tc>
      </w:tr>
    </w:tbl>
    <w:p w:rsidR="00E2455B" w:rsidRPr="005D4B2E" w:rsidRDefault="00E2455B" w:rsidP="00B9023B">
      <w:pPr>
        <w:spacing w:after="0" w:line="240" w:lineRule="atLeast"/>
        <w:rPr>
          <w:rFonts w:eastAsia="Times New Roman" w:cs="Arial"/>
          <w:sz w:val="24"/>
          <w:szCs w:val="24"/>
        </w:rPr>
      </w:pPr>
    </w:p>
    <w:p w:rsidR="00E2455B" w:rsidRPr="005D4B2E" w:rsidRDefault="00E2455B" w:rsidP="00B9023B">
      <w:pPr>
        <w:spacing w:after="0" w:line="240" w:lineRule="atLeast"/>
        <w:rPr>
          <w:rFonts w:eastAsia="Times New Roman" w:cs="Arial"/>
          <w:sz w:val="24"/>
          <w:szCs w:val="24"/>
        </w:rPr>
      </w:pPr>
    </w:p>
    <w:p w:rsidR="00E2455B" w:rsidRPr="005D4B2E" w:rsidRDefault="00E2455B" w:rsidP="00B9023B">
      <w:pPr>
        <w:spacing w:after="0" w:line="240" w:lineRule="atLeast"/>
        <w:rPr>
          <w:rFonts w:eastAsia="Times New Roman" w:cs="Arial"/>
          <w:sz w:val="24"/>
          <w:szCs w:val="24"/>
        </w:rPr>
      </w:pPr>
    </w:p>
    <w:p w:rsidR="00575995" w:rsidRPr="005D4B2E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71BE2" w:rsidRPr="005D4B2E" w:rsidRDefault="00B71BE2">
      <w:pPr>
        <w:rPr>
          <w:sz w:val="24"/>
          <w:szCs w:val="24"/>
        </w:rPr>
      </w:pPr>
    </w:p>
    <w:sectPr w:rsidR="00B71BE2" w:rsidRPr="005D4B2E" w:rsidSect="00B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26C2"/>
    <w:multiLevelType w:val="multilevel"/>
    <w:tmpl w:val="684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B"/>
    <w:rsid w:val="000538B9"/>
    <w:rsid w:val="000D4299"/>
    <w:rsid w:val="000F0D13"/>
    <w:rsid w:val="00286D45"/>
    <w:rsid w:val="002D5291"/>
    <w:rsid w:val="003F21DB"/>
    <w:rsid w:val="0051347D"/>
    <w:rsid w:val="00575995"/>
    <w:rsid w:val="005D4B2E"/>
    <w:rsid w:val="006B5011"/>
    <w:rsid w:val="007A4800"/>
    <w:rsid w:val="009219B7"/>
    <w:rsid w:val="0095712F"/>
    <w:rsid w:val="00A53D44"/>
    <w:rsid w:val="00A5534C"/>
    <w:rsid w:val="00A60771"/>
    <w:rsid w:val="00B11087"/>
    <w:rsid w:val="00B71BE2"/>
    <w:rsid w:val="00B9023B"/>
    <w:rsid w:val="00BD25CD"/>
    <w:rsid w:val="00C71BE8"/>
    <w:rsid w:val="00CA4ABC"/>
    <w:rsid w:val="00E2455B"/>
    <w:rsid w:val="00F02B96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2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a.gov/portal/ext/public/site/FTR/file/Chapter301p011.html/category/2186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fa.dhs.gov/applications/ho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.gov/portal/content/1019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JillDenning</dc:creator>
  <cp:lastModifiedBy>Jill Denning</cp:lastModifiedBy>
  <cp:revision>2</cp:revision>
  <dcterms:created xsi:type="dcterms:W3CDTF">2016-08-01T20:28:00Z</dcterms:created>
  <dcterms:modified xsi:type="dcterms:W3CDTF">2016-08-01T20:28:00Z</dcterms:modified>
</cp:coreProperties>
</file>