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3B" w:rsidRPr="00B9023B" w:rsidRDefault="00B9023B" w:rsidP="00B9023B">
      <w:pPr>
        <w:spacing w:after="150" w:line="264" w:lineRule="atLeast"/>
        <w:outlineLvl w:val="1"/>
        <w:rPr>
          <w:rFonts w:ascii="Helvetica" w:eastAsia="Times New Roman" w:hAnsi="Helvetica" w:cs="Helvetica"/>
          <w:color w:val="333333"/>
          <w:sz w:val="46"/>
          <w:szCs w:val="46"/>
        </w:rPr>
      </w:pPr>
      <w:r w:rsidRPr="00B9023B">
        <w:rPr>
          <w:rFonts w:ascii="Helvetica" w:eastAsia="Times New Roman" w:hAnsi="Helvetica" w:cs="Helvetica"/>
          <w:color w:val="333333"/>
          <w:sz w:val="46"/>
          <w:szCs w:val="46"/>
        </w:rPr>
        <w:t xml:space="preserve">FY </w:t>
      </w:r>
      <w:bookmarkStart w:id="0" w:name="_GoBack"/>
      <w:bookmarkEnd w:id="0"/>
      <w:r w:rsidRPr="00B9023B">
        <w:rPr>
          <w:rFonts w:ascii="Helvetica" w:eastAsia="Times New Roman" w:hAnsi="Helvetica" w:cs="Helvetica"/>
          <w:color w:val="333333"/>
          <w:sz w:val="46"/>
          <w:szCs w:val="46"/>
        </w:rPr>
        <w:t>201</w:t>
      </w:r>
      <w:r w:rsidR="00DF2159">
        <w:rPr>
          <w:rFonts w:ascii="Helvetica" w:eastAsia="Times New Roman" w:hAnsi="Helvetica" w:cs="Helvetica"/>
          <w:color w:val="333333"/>
          <w:sz w:val="46"/>
          <w:szCs w:val="46"/>
        </w:rPr>
        <w:t>8</w:t>
      </w:r>
      <w:r w:rsidRPr="00B9023B">
        <w:rPr>
          <w:rFonts w:ascii="Helvetica" w:eastAsia="Times New Roman" w:hAnsi="Helvetica" w:cs="Helvetica"/>
          <w:color w:val="333333"/>
          <w:sz w:val="46"/>
          <w:szCs w:val="46"/>
        </w:rPr>
        <w:t xml:space="preserve"> Highlights</w:t>
      </w:r>
    </w:p>
    <w:p w:rsidR="00B9023B" w:rsidRPr="003F21DB" w:rsidRDefault="00B9023B" w:rsidP="00B9023B">
      <w:pPr>
        <w:spacing w:before="240" w:after="240" w:line="240" w:lineRule="atLeast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GSA establishes the p</w:t>
      </w:r>
      <w:r w:rsidR="00CA4ABC">
        <w:rPr>
          <w:rFonts w:eastAsia="Times New Roman" w:cs="Arial"/>
          <w:color w:val="333333"/>
          <w:sz w:val="20"/>
          <w:szCs w:val="20"/>
        </w:rPr>
        <w:t>er diem rates for the lower 48 C</w:t>
      </w:r>
      <w:r w:rsidRPr="003F21DB">
        <w:rPr>
          <w:rFonts w:eastAsia="Times New Roman" w:cs="Arial"/>
          <w:color w:val="333333"/>
          <w:sz w:val="20"/>
          <w:szCs w:val="20"/>
        </w:rPr>
        <w:t>ontinental United States (CONUS), which are the maximum allowances that federal employees are reimbursed for expenses incurred while on official travel.</w:t>
      </w:r>
    </w:p>
    <w:p w:rsidR="00B9023B" w:rsidRPr="003F21DB" w:rsidRDefault="00B9023B" w:rsidP="00B9023B">
      <w:pPr>
        <w:spacing w:before="240" w:after="240" w:line="240" w:lineRule="atLeast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The CONUS per diem rate for an area is actually three allowances: the lodging allowance, the meals allowance and the incidental expense allowance. Most of the CONUS (approximately 2600 counties) are covered by the standard CONUS per diem rate of $1</w:t>
      </w:r>
      <w:r w:rsidR="00BD25CD">
        <w:rPr>
          <w:rFonts w:eastAsia="Times New Roman" w:cs="Arial"/>
          <w:color w:val="333333"/>
          <w:sz w:val="20"/>
          <w:szCs w:val="20"/>
        </w:rPr>
        <w:t>4</w:t>
      </w:r>
      <w:r w:rsidR="00DF2159">
        <w:rPr>
          <w:rFonts w:eastAsia="Times New Roman" w:cs="Arial"/>
          <w:color w:val="333333"/>
          <w:sz w:val="20"/>
          <w:szCs w:val="20"/>
        </w:rPr>
        <w:t>4</w:t>
      </w:r>
      <w:r w:rsidR="00575995" w:rsidRPr="003F21DB">
        <w:rPr>
          <w:rFonts w:eastAsia="Times New Roman" w:cs="Arial"/>
          <w:color w:val="333333"/>
          <w:sz w:val="20"/>
          <w:szCs w:val="20"/>
        </w:rPr>
        <w:t xml:space="preserve"> ($</w:t>
      </w:r>
      <w:r w:rsidR="00BD25CD">
        <w:rPr>
          <w:rFonts w:eastAsia="Times New Roman" w:cs="Arial"/>
          <w:color w:val="333333"/>
          <w:sz w:val="20"/>
          <w:szCs w:val="20"/>
        </w:rPr>
        <w:t>9</w:t>
      </w:r>
      <w:r w:rsidR="00DF2159">
        <w:rPr>
          <w:rFonts w:eastAsia="Times New Roman" w:cs="Arial"/>
          <w:color w:val="333333"/>
          <w:sz w:val="20"/>
          <w:szCs w:val="20"/>
        </w:rPr>
        <w:t>3</w:t>
      </w:r>
      <w:r w:rsidRPr="003F21DB">
        <w:rPr>
          <w:rFonts w:eastAsia="Times New Roman" w:cs="Arial"/>
          <w:color w:val="333333"/>
          <w:sz w:val="20"/>
          <w:szCs w:val="20"/>
        </w:rPr>
        <w:t xml:space="preserve"> lodging, $</w:t>
      </w:r>
      <w:r w:rsidR="00BD25CD">
        <w:rPr>
          <w:rFonts w:eastAsia="Times New Roman" w:cs="Arial"/>
          <w:color w:val="333333"/>
          <w:sz w:val="20"/>
          <w:szCs w:val="20"/>
        </w:rPr>
        <w:t>51</w:t>
      </w:r>
      <w:r w:rsidRPr="003F21DB">
        <w:rPr>
          <w:rFonts w:eastAsia="Times New Roman" w:cs="Arial"/>
          <w:color w:val="333333"/>
          <w:sz w:val="20"/>
          <w:szCs w:val="20"/>
        </w:rPr>
        <w:t xml:space="preserve"> meals and incidental expenses). In fiscal year (FY) 201</w:t>
      </w:r>
      <w:r w:rsidR="00DF2159">
        <w:rPr>
          <w:rFonts w:eastAsia="Times New Roman" w:cs="Arial"/>
          <w:color w:val="333333"/>
          <w:sz w:val="20"/>
          <w:szCs w:val="20"/>
        </w:rPr>
        <w:t>8</w:t>
      </w:r>
      <w:r w:rsidRPr="003F21DB">
        <w:rPr>
          <w:rFonts w:eastAsia="Times New Roman" w:cs="Arial"/>
          <w:color w:val="333333"/>
          <w:sz w:val="20"/>
          <w:szCs w:val="20"/>
        </w:rPr>
        <w:t xml:space="preserve">, there </w:t>
      </w:r>
      <w:r w:rsidR="0095712F">
        <w:rPr>
          <w:rFonts w:eastAsia="Times New Roman" w:cs="Arial"/>
          <w:color w:val="333333"/>
          <w:sz w:val="20"/>
          <w:szCs w:val="20"/>
        </w:rPr>
        <w:t xml:space="preserve">are </w:t>
      </w:r>
      <w:r w:rsidR="00DF2159">
        <w:rPr>
          <w:rFonts w:eastAsia="Times New Roman" w:cs="Arial"/>
          <w:color w:val="333333"/>
          <w:sz w:val="20"/>
          <w:szCs w:val="20"/>
        </w:rPr>
        <w:t xml:space="preserve">332 </w:t>
      </w:r>
      <w:r w:rsidRPr="003F21DB">
        <w:rPr>
          <w:rFonts w:eastAsia="Times New Roman" w:cs="Arial"/>
          <w:color w:val="333333"/>
          <w:sz w:val="20"/>
          <w:szCs w:val="20"/>
        </w:rPr>
        <w:t>Non-Standard Areas (NSAs) that have per diem rates higher than the standard CONUS rate.</w:t>
      </w:r>
    </w:p>
    <w:p w:rsidR="00B9023B" w:rsidRPr="003F21DB" w:rsidRDefault="00B9023B" w:rsidP="00B9023B">
      <w:pPr>
        <w:spacing w:before="240" w:after="240" w:line="240" w:lineRule="atLeast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 xml:space="preserve">Since FY 2005, NSA rates have been based on Average Daily Rate (ADR) data from the lodging industry, which GSA obtains through a contract with a leading provider of lodging industry data. For more about how per diem rates are determined, visit </w:t>
      </w:r>
      <w:hyperlink r:id="rId6" w:tgtFrame="_self" w:history="1">
        <w:r w:rsidRPr="003F21DB">
          <w:rPr>
            <w:rFonts w:eastAsia="Times New Roman" w:cs="Arial"/>
            <w:color w:val="282E8C"/>
            <w:sz w:val="20"/>
            <w:szCs w:val="20"/>
            <w:u w:val="single"/>
          </w:rPr>
          <w:t>Factors Influencing Lodging Rates</w:t>
        </w:r>
      </w:hyperlink>
      <w:r w:rsidRPr="003F21DB">
        <w:rPr>
          <w:rFonts w:eastAsia="Times New Roman" w:cs="Arial"/>
          <w:color w:val="333333"/>
          <w:sz w:val="20"/>
          <w:szCs w:val="20"/>
        </w:rPr>
        <w:t xml:space="preserve">. The ADR is a widely accepted lodging-industry measure based upon a property's room rental revenue divided by the number of rooms rented as reported by the hotel property to the contractor. This calculation provides </w:t>
      </w:r>
      <w:r w:rsidR="00CA4ABC">
        <w:rPr>
          <w:rFonts w:eastAsia="Times New Roman" w:cs="Arial"/>
          <w:color w:val="333333"/>
          <w:sz w:val="20"/>
          <w:szCs w:val="20"/>
        </w:rPr>
        <w:t>GSA</w:t>
      </w:r>
      <w:r w:rsidRPr="003F21DB">
        <w:rPr>
          <w:rFonts w:eastAsia="Times New Roman" w:cs="Arial"/>
          <w:color w:val="333333"/>
          <w:sz w:val="20"/>
          <w:szCs w:val="20"/>
        </w:rPr>
        <w:t xml:space="preserve"> with the average rate in a given area.</w:t>
      </w:r>
    </w:p>
    <w:p w:rsidR="00B9023B" w:rsidRPr="003F21DB" w:rsidRDefault="00B9023B" w:rsidP="00B9023B">
      <w:pPr>
        <w:spacing w:before="240" w:after="240" w:line="240" w:lineRule="atLeast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As in previous years, GSA still uses:</w:t>
      </w:r>
    </w:p>
    <w:p w:rsidR="00B9023B" w:rsidRPr="003F21DB" w:rsidRDefault="00B9023B" w:rsidP="00B9023B">
      <w:pPr>
        <w:numPr>
          <w:ilvl w:val="0"/>
          <w:numId w:val="1"/>
        </w:numPr>
        <w:spacing w:before="30" w:after="30" w:line="264" w:lineRule="atLeast"/>
        <w:ind w:left="0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Only "fire safe" properties; GSA is required by law to use only </w:t>
      </w:r>
      <w:hyperlink r:id="rId7" w:tgtFrame="_self" w:history="1">
        <w:r w:rsidRPr="003F21DB">
          <w:rPr>
            <w:rFonts w:eastAsia="Times New Roman" w:cs="Arial"/>
            <w:color w:val="282E8C"/>
            <w:sz w:val="20"/>
            <w:szCs w:val="20"/>
          </w:rPr>
          <w:t>properties</w:t>
        </w:r>
      </w:hyperlink>
      <w:r w:rsidRPr="003F21DB">
        <w:rPr>
          <w:rFonts w:eastAsia="Times New Roman" w:cs="Arial"/>
          <w:color w:val="333333"/>
          <w:sz w:val="20"/>
          <w:szCs w:val="20"/>
        </w:rPr>
        <w:t> that are certified as being in compliance with the Hotel &amp; Motel Fire Safety Act of 1990.</w:t>
      </w:r>
    </w:p>
    <w:p w:rsidR="00B9023B" w:rsidRPr="003F21DB" w:rsidRDefault="00B9023B" w:rsidP="00B9023B">
      <w:pPr>
        <w:numPr>
          <w:ilvl w:val="0"/>
          <w:numId w:val="1"/>
        </w:numPr>
        <w:spacing w:before="30" w:after="30" w:line="264" w:lineRule="atLeast"/>
        <w:ind w:left="0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Properties that fall within the mid-price range. </w:t>
      </w:r>
    </w:p>
    <w:p w:rsidR="00B9023B" w:rsidRPr="003F21DB" w:rsidRDefault="00B9023B" w:rsidP="00B9023B">
      <w:pPr>
        <w:numPr>
          <w:ilvl w:val="0"/>
          <w:numId w:val="1"/>
        </w:numPr>
        <w:spacing w:before="30" w:after="30" w:line="264" w:lineRule="atLeast"/>
        <w:ind w:left="0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Data from the prior 12-month period.  For FY 201</w:t>
      </w:r>
      <w:r w:rsidR="00DF2159">
        <w:rPr>
          <w:rFonts w:eastAsia="Times New Roman" w:cs="Arial"/>
          <w:color w:val="333333"/>
          <w:sz w:val="20"/>
          <w:szCs w:val="20"/>
        </w:rPr>
        <w:t>8</w:t>
      </w:r>
      <w:r w:rsidRPr="003F21DB">
        <w:rPr>
          <w:rFonts w:eastAsia="Times New Roman" w:cs="Arial"/>
          <w:color w:val="333333"/>
          <w:sz w:val="20"/>
          <w:szCs w:val="20"/>
        </w:rPr>
        <w:t>, this is from April 201</w:t>
      </w:r>
      <w:r w:rsidR="00DF2159">
        <w:rPr>
          <w:rFonts w:eastAsia="Times New Roman" w:cs="Arial"/>
          <w:color w:val="333333"/>
          <w:sz w:val="20"/>
          <w:szCs w:val="20"/>
        </w:rPr>
        <w:t>6</w:t>
      </w:r>
      <w:r w:rsidRPr="003F21DB">
        <w:rPr>
          <w:rFonts w:eastAsia="Times New Roman" w:cs="Arial"/>
          <w:color w:val="333333"/>
          <w:sz w:val="20"/>
          <w:szCs w:val="20"/>
        </w:rPr>
        <w:t xml:space="preserve"> through March 201</w:t>
      </w:r>
      <w:r w:rsidR="00DF2159">
        <w:rPr>
          <w:rFonts w:eastAsia="Times New Roman" w:cs="Arial"/>
          <w:color w:val="333333"/>
          <w:sz w:val="20"/>
          <w:szCs w:val="20"/>
        </w:rPr>
        <w:t>7</w:t>
      </w:r>
      <w:r w:rsidRPr="003F21DB">
        <w:rPr>
          <w:rFonts w:eastAsia="Times New Roman" w:cs="Arial"/>
          <w:color w:val="333333"/>
          <w:sz w:val="20"/>
          <w:szCs w:val="20"/>
        </w:rPr>
        <w:t>;</w:t>
      </w:r>
    </w:p>
    <w:p w:rsidR="00B9023B" w:rsidRPr="003F21DB" w:rsidRDefault="00B9023B" w:rsidP="00B9023B">
      <w:pPr>
        <w:numPr>
          <w:ilvl w:val="0"/>
          <w:numId w:val="1"/>
        </w:numPr>
        <w:spacing w:before="30" w:after="30" w:line="264" w:lineRule="atLeast"/>
        <w:ind w:left="0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Business travel week data (Monday through Thursday)</w:t>
      </w:r>
      <w:r w:rsidR="00A53D44">
        <w:rPr>
          <w:rFonts w:eastAsia="Times New Roman" w:cs="Arial"/>
          <w:color w:val="333333"/>
          <w:sz w:val="20"/>
          <w:szCs w:val="20"/>
        </w:rPr>
        <w:t>.</w:t>
      </w:r>
    </w:p>
    <w:p w:rsidR="00B9023B" w:rsidRPr="003F21DB" w:rsidRDefault="00B9023B" w:rsidP="00B9023B">
      <w:pPr>
        <w:spacing w:before="240" w:after="240" w:line="240" w:lineRule="atLeast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 xml:space="preserve">Agencies are reminded that the Federal Travel Regulation allows for actual expense reimbursement when per diem rates are insufficient to meet necessary expenses. Please see </w:t>
      </w:r>
      <w:hyperlink r:id="rId8" w:anchor="wp1089939" w:history="1">
        <w:r w:rsidRPr="003F21DB">
          <w:rPr>
            <w:rFonts w:eastAsia="Times New Roman" w:cs="Arial"/>
            <w:color w:val="282E8C"/>
            <w:sz w:val="20"/>
            <w:szCs w:val="20"/>
            <w:u w:val="single"/>
          </w:rPr>
          <w:t>FTR §301-11.300 through 306</w:t>
        </w:r>
      </w:hyperlink>
      <w:r w:rsidRPr="003F21DB">
        <w:rPr>
          <w:rFonts w:eastAsia="Times New Roman" w:cs="Arial"/>
          <w:color w:val="333333"/>
          <w:sz w:val="20"/>
          <w:szCs w:val="20"/>
        </w:rPr>
        <w:t xml:space="preserve"> for more information.</w:t>
      </w:r>
    </w:p>
    <w:p w:rsidR="009219B7" w:rsidRDefault="00B9023B" w:rsidP="003F21DB">
      <w:pPr>
        <w:rPr>
          <w:rFonts w:eastAsia="Times New Roman" w:cs="Arial"/>
          <w:sz w:val="20"/>
          <w:szCs w:val="20"/>
        </w:rPr>
      </w:pPr>
      <w:r w:rsidRPr="003F21DB">
        <w:rPr>
          <w:rFonts w:eastAsia="Times New Roman" w:cs="Arial"/>
          <w:b/>
          <w:bCs/>
          <w:color w:val="333333"/>
          <w:sz w:val="20"/>
          <w:szCs w:val="20"/>
        </w:rPr>
        <w:t xml:space="preserve">FY </w:t>
      </w:r>
      <w:r w:rsidR="00575995" w:rsidRPr="003F21DB">
        <w:rPr>
          <w:rFonts w:eastAsia="Times New Roman" w:cs="Arial"/>
          <w:b/>
          <w:bCs/>
          <w:color w:val="333333"/>
          <w:sz w:val="20"/>
          <w:szCs w:val="20"/>
        </w:rPr>
        <w:t>20</w:t>
      </w:r>
      <w:r w:rsidRPr="003F21DB">
        <w:rPr>
          <w:rFonts w:eastAsia="Times New Roman" w:cs="Arial"/>
          <w:b/>
          <w:bCs/>
          <w:color w:val="333333"/>
          <w:sz w:val="20"/>
          <w:szCs w:val="20"/>
        </w:rPr>
        <w:t>1</w:t>
      </w:r>
      <w:r w:rsidR="00DF2159">
        <w:rPr>
          <w:rFonts w:eastAsia="Times New Roman" w:cs="Arial"/>
          <w:b/>
          <w:bCs/>
          <w:color w:val="333333"/>
          <w:sz w:val="20"/>
          <w:szCs w:val="20"/>
        </w:rPr>
        <w:t>8</w:t>
      </w:r>
      <w:r w:rsidRPr="003F21DB">
        <w:rPr>
          <w:rFonts w:eastAsia="Times New Roman" w:cs="Arial"/>
          <w:b/>
          <w:bCs/>
          <w:color w:val="333333"/>
          <w:sz w:val="20"/>
          <w:szCs w:val="20"/>
        </w:rPr>
        <w:t xml:space="preserve"> Results</w:t>
      </w:r>
      <w:proofErr w:type="gramStart"/>
      <w:r w:rsidRPr="003F21DB">
        <w:rPr>
          <w:rFonts w:eastAsia="Times New Roman" w:cs="Arial"/>
          <w:b/>
          <w:bCs/>
          <w:color w:val="333333"/>
          <w:sz w:val="20"/>
          <w:szCs w:val="20"/>
        </w:rPr>
        <w:t>:</w:t>
      </w:r>
      <w:proofErr w:type="gramEnd"/>
      <w:r w:rsidRPr="003F21DB">
        <w:rPr>
          <w:rFonts w:eastAsia="Times New Roman" w:cs="Arial"/>
          <w:color w:val="333333"/>
          <w:sz w:val="20"/>
          <w:szCs w:val="20"/>
        </w:rPr>
        <w:br/>
      </w:r>
      <w:r w:rsidRPr="003F21DB">
        <w:rPr>
          <w:rFonts w:eastAsia="Times New Roman" w:cs="Arial"/>
          <w:color w:val="333333"/>
          <w:sz w:val="20"/>
          <w:szCs w:val="20"/>
        </w:rPr>
        <w:br/>
      </w:r>
      <w:r w:rsidR="0095712F">
        <w:rPr>
          <w:rFonts w:eastAsia="Times New Roman" w:cs="Arial"/>
          <w:sz w:val="20"/>
          <w:szCs w:val="20"/>
        </w:rPr>
        <w:t>There are no new NSA locations this year.</w:t>
      </w:r>
    </w:p>
    <w:p w:rsidR="00B9023B" w:rsidRDefault="00B9023B" w:rsidP="00B9023B">
      <w:pPr>
        <w:spacing w:after="0" w:line="240" w:lineRule="atLeast"/>
        <w:rPr>
          <w:rFonts w:eastAsia="Times New Roman" w:cs="Arial"/>
          <w:sz w:val="20"/>
          <w:szCs w:val="20"/>
        </w:rPr>
      </w:pPr>
      <w:r w:rsidRPr="00286D45">
        <w:rPr>
          <w:rFonts w:eastAsia="Times New Roman" w:cs="Arial"/>
          <w:sz w:val="20"/>
          <w:szCs w:val="20"/>
        </w:rPr>
        <w:t>In FY 201</w:t>
      </w:r>
      <w:r w:rsidR="00DF2159">
        <w:rPr>
          <w:rFonts w:eastAsia="Times New Roman" w:cs="Arial"/>
          <w:sz w:val="20"/>
          <w:szCs w:val="20"/>
        </w:rPr>
        <w:t>8</w:t>
      </w:r>
      <w:r w:rsidRPr="00286D45">
        <w:rPr>
          <w:rFonts w:eastAsia="Times New Roman" w:cs="Arial"/>
          <w:sz w:val="20"/>
          <w:szCs w:val="20"/>
        </w:rPr>
        <w:t xml:space="preserve">, </w:t>
      </w:r>
      <w:r w:rsidR="00DF2159">
        <w:rPr>
          <w:rFonts w:eastAsia="Times New Roman" w:cs="Arial"/>
          <w:sz w:val="20"/>
          <w:szCs w:val="20"/>
        </w:rPr>
        <w:t>14</w:t>
      </w:r>
      <w:r w:rsidR="0095712F">
        <w:rPr>
          <w:rFonts w:eastAsia="Times New Roman" w:cs="Arial"/>
          <w:sz w:val="20"/>
          <w:szCs w:val="20"/>
        </w:rPr>
        <w:t xml:space="preserve"> </w:t>
      </w:r>
      <w:r w:rsidRPr="00286D45">
        <w:rPr>
          <w:rFonts w:eastAsia="Times New Roman" w:cs="Arial"/>
          <w:sz w:val="20"/>
          <w:szCs w:val="20"/>
        </w:rPr>
        <w:t xml:space="preserve">locations </w:t>
      </w:r>
      <w:r w:rsidR="00575995" w:rsidRPr="00286D45">
        <w:rPr>
          <w:rFonts w:eastAsia="Times New Roman" w:cs="Arial"/>
          <w:sz w:val="20"/>
          <w:szCs w:val="20"/>
        </w:rPr>
        <w:t>that were NSAs in FY 201</w:t>
      </w:r>
      <w:r w:rsidR="00DF2159">
        <w:rPr>
          <w:rFonts w:eastAsia="Times New Roman" w:cs="Arial"/>
          <w:sz w:val="20"/>
          <w:szCs w:val="20"/>
        </w:rPr>
        <w:t>7</w:t>
      </w:r>
      <w:r w:rsidR="00575995" w:rsidRPr="00286D45">
        <w:rPr>
          <w:rFonts w:eastAsia="Times New Roman" w:cs="Arial"/>
          <w:sz w:val="20"/>
          <w:szCs w:val="20"/>
        </w:rPr>
        <w:t xml:space="preserve"> will </w:t>
      </w:r>
      <w:r w:rsidRPr="00286D45">
        <w:rPr>
          <w:rFonts w:eastAsia="Times New Roman" w:cs="Arial"/>
          <w:sz w:val="20"/>
          <w:szCs w:val="20"/>
        </w:rPr>
        <w:t xml:space="preserve">move into the standard CONUS rate category. </w:t>
      </w:r>
      <w:r w:rsidR="00575995" w:rsidRPr="00286D45">
        <w:rPr>
          <w:rFonts w:eastAsia="Times New Roman" w:cs="Arial"/>
          <w:sz w:val="20"/>
          <w:szCs w:val="20"/>
        </w:rPr>
        <w:t>They include:</w:t>
      </w:r>
    </w:p>
    <w:p w:rsidR="009219B7" w:rsidRDefault="009219B7" w:rsidP="00B9023B">
      <w:pPr>
        <w:spacing w:after="0" w:line="240" w:lineRule="atLeast"/>
        <w:rPr>
          <w:rFonts w:eastAsia="Times New Roman" w:cs="Arial"/>
          <w:sz w:val="20"/>
          <w:szCs w:val="20"/>
        </w:rPr>
      </w:pPr>
    </w:p>
    <w:tbl>
      <w:tblPr>
        <w:tblStyle w:val="LightList-Accent1"/>
        <w:tblW w:w="7200" w:type="dxa"/>
        <w:tblLook w:val="0420" w:firstRow="1" w:lastRow="0" w:firstColumn="0" w:lastColumn="0" w:noHBand="0" w:noVBand="1"/>
      </w:tblPr>
      <w:tblGrid>
        <w:gridCol w:w="7200"/>
      </w:tblGrid>
      <w:tr w:rsidR="009219B7" w:rsidRPr="009219B7" w:rsidTr="00DF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tcW w:w="7200" w:type="dxa"/>
            <w:hideMark/>
          </w:tcPr>
          <w:p w:rsidR="009219B7" w:rsidRPr="009219B7" w:rsidRDefault="005D4B2E" w:rsidP="009219B7">
            <w:pPr>
              <w:rPr>
                <w:rFonts w:eastAsia="Times New Roman" w:cs="Arial"/>
                <w:sz w:val="24"/>
                <w:szCs w:val="24"/>
              </w:rPr>
            </w:pPr>
            <w:r w:rsidRPr="005D4B2E">
              <w:rPr>
                <w:rFonts w:eastAsia="Times New Roman" w:cs="Arial"/>
                <w:bCs w:val="0"/>
                <w:kern w:val="24"/>
                <w:sz w:val="24"/>
                <w:szCs w:val="24"/>
              </w:rPr>
              <w:t>Destination/State</w:t>
            </w:r>
          </w:p>
        </w:tc>
      </w:tr>
      <w:tr w:rsidR="00DF2159" w:rsidRPr="00DF2159" w:rsidTr="00DF215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  <w:hideMark/>
          </w:tcPr>
          <w:p w:rsidR="00DF2159" w:rsidRPr="00DF2159" w:rsidRDefault="00DF2159" w:rsidP="00F97F6B">
            <w:pPr>
              <w:rPr>
                <w:rFonts w:eastAsia="Times New Roman" w:cs="Arial"/>
                <w:b w:val="0"/>
                <w:color w:val="6D6D6D"/>
                <w:sz w:val="20"/>
                <w:szCs w:val="20"/>
              </w:rPr>
            </w:pPr>
            <w:r w:rsidRPr="00DF2159">
              <w:rPr>
                <w:rFonts w:eastAsia="Times New Roman" w:cs="Arial"/>
                <w:b w:val="0"/>
                <w:color w:val="6D6D6D"/>
                <w:sz w:val="20"/>
                <w:szCs w:val="20"/>
              </w:rPr>
              <w:t>Redding, CA</w:t>
            </w:r>
          </w:p>
        </w:tc>
      </w:tr>
      <w:tr w:rsidR="00DF2159" w:rsidRPr="00DF2159" w:rsidTr="00DF215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  <w:hideMark/>
          </w:tcPr>
          <w:p w:rsidR="00DF2159" w:rsidRPr="00DF2159" w:rsidRDefault="00DF2159" w:rsidP="00DF2159">
            <w:pPr>
              <w:rPr>
                <w:rFonts w:eastAsia="Times New Roman" w:cs="Arial"/>
                <w:b w:val="0"/>
                <w:color w:val="6D6D6D"/>
                <w:sz w:val="20"/>
                <w:szCs w:val="20"/>
              </w:rPr>
            </w:pPr>
            <w:r w:rsidRPr="00DF2159">
              <w:rPr>
                <w:rFonts w:eastAsia="Times New Roman" w:cs="Arial"/>
                <w:b w:val="0"/>
                <w:color w:val="6D6D6D"/>
                <w:sz w:val="20"/>
                <w:szCs w:val="20"/>
              </w:rPr>
              <w:t>Cedar Rapids</w:t>
            </w:r>
            <w:r>
              <w:rPr>
                <w:rFonts w:eastAsia="Times New Roman" w:cs="Arial"/>
                <w:b w:val="0"/>
                <w:color w:val="6D6D6D"/>
                <w:sz w:val="20"/>
                <w:szCs w:val="20"/>
              </w:rPr>
              <w:t>,</w:t>
            </w:r>
            <w:r w:rsidRPr="00DF2159">
              <w:rPr>
                <w:rFonts w:eastAsia="Times New Roman" w:cs="Arial"/>
                <w:b w:val="0"/>
                <w:color w:val="6D6D6D"/>
                <w:sz w:val="20"/>
                <w:szCs w:val="20"/>
              </w:rPr>
              <w:t xml:space="preserve"> IA</w:t>
            </w:r>
          </w:p>
        </w:tc>
      </w:tr>
      <w:tr w:rsidR="00DF2159" w:rsidRPr="00DF2159" w:rsidTr="00DF215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  <w:hideMark/>
          </w:tcPr>
          <w:p w:rsidR="00DF2159" w:rsidRPr="00DF2159" w:rsidRDefault="00DF2159" w:rsidP="00F97F6B">
            <w:pPr>
              <w:rPr>
                <w:rFonts w:eastAsia="Times New Roman" w:cs="Arial"/>
                <w:b w:val="0"/>
                <w:color w:val="6D6D6D"/>
                <w:sz w:val="20"/>
                <w:szCs w:val="20"/>
              </w:rPr>
            </w:pPr>
            <w:r w:rsidRPr="00DF2159">
              <w:rPr>
                <w:rFonts w:eastAsia="Times New Roman" w:cs="Arial"/>
                <w:b w:val="0"/>
                <w:color w:val="6D6D6D"/>
                <w:sz w:val="20"/>
                <w:szCs w:val="20"/>
              </w:rPr>
              <w:t>Bonner's Ferry / Sandpoint, ID</w:t>
            </w:r>
          </w:p>
        </w:tc>
      </w:tr>
      <w:tr w:rsidR="00DF2159" w:rsidRPr="00DF2159" w:rsidTr="00DF215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  <w:hideMark/>
          </w:tcPr>
          <w:p w:rsidR="00DF2159" w:rsidRPr="00DF2159" w:rsidRDefault="00DF2159" w:rsidP="00F97F6B">
            <w:pPr>
              <w:rPr>
                <w:rFonts w:eastAsia="Times New Roman" w:cs="Arial"/>
                <w:b w:val="0"/>
                <w:color w:val="6D6D6D"/>
                <w:sz w:val="20"/>
                <w:szCs w:val="20"/>
              </w:rPr>
            </w:pPr>
            <w:r w:rsidRPr="00DF2159">
              <w:rPr>
                <w:rFonts w:eastAsia="Times New Roman" w:cs="Arial"/>
                <w:b w:val="0"/>
                <w:color w:val="6D6D6D"/>
                <w:sz w:val="20"/>
                <w:szCs w:val="20"/>
              </w:rPr>
              <w:t>Dickinson / Beulah, ND</w:t>
            </w:r>
          </w:p>
        </w:tc>
      </w:tr>
      <w:tr w:rsidR="00DF2159" w:rsidRPr="00DF2159" w:rsidTr="00DF215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  <w:hideMark/>
          </w:tcPr>
          <w:p w:rsidR="00DF2159" w:rsidRPr="00DF2159" w:rsidRDefault="00DF2159" w:rsidP="00F97F6B">
            <w:pPr>
              <w:rPr>
                <w:rFonts w:eastAsia="Times New Roman" w:cs="Arial"/>
                <w:b w:val="0"/>
                <w:color w:val="6D6D6D"/>
                <w:sz w:val="20"/>
                <w:szCs w:val="20"/>
              </w:rPr>
            </w:pPr>
            <w:r w:rsidRPr="00DF2159">
              <w:rPr>
                <w:rFonts w:eastAsia="Times New Roman" w:cs="Arial"/>
                <w:b w:val="0"/>
                <w:color w:val="6D6D6D"/>
                <w:sz w:val="20"/>
                <w:szCs w:val="20"/>
              </w:rPr>
              <w:t>Watertown, NY</w:t>
            </w:r>
          </w:p>
        </w:tc>
      </w:tr>
      <w:tr w:rsidR="00DF2159" w:rsidRPr="00DF2159" w:rsidTr="00DF215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  <w:hideMark/>
          </w:tcPr>
          <w:p w:rsidR="00DF2159" w:rsidRPr="00DF2159" w:rsidRDefault="00DF2159" w:rsidP="00F97F6B">
            <w:pPr>
              <w:rPr>
                <w:rFonts w:eastAsia="Times New Roman" w:cs="Arial"/>
                <w:b w:val="0"/>
                <w:color w:val="6D6D6D"/>
                <w:sz w:val="20"/>
                <w:szCs w:val="20"/>
              </w:rPr>
            </w:pPr>
            <w:r w:rsidRPr="00DF2159">
              <w:rPr>
                <w:rFonts w:eastAsia="Times New Roman" w:cs="Arial"/>
                <w:b w:val="0"/>
                <w:color w:val="6D6D6D"/>
                <w:sz w:val="20"/>
                <w:szCs w:val="20"/>
              </w:rPr>
              <w:t>Youngstown, OH</w:t>
            </w:r>
          </w:p>
        </w:tc>
      </w:tr>
      <w:tr w:rsidR="00DF2159" w:rsidRPr="00DF2159" w:rsidTr="00DF215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  <w:hideMark/>
          </w:tcPr>
          <w:p w:rsidR="00DF2159" w:rsidRPr="00DF2159" w:rsidRDefault="00DF2159" w:rsidP="00F97F6B">
            <w:pPr>
              <w:rPr>
                <w:rFonts w:eastAsia="Times New Roman" w:cs="Arial"/>
                <w:b w:val="0"/>
                <w:color w:val="6D6D6D"/>
                <w:sz w:val="20"/>
                <w:szCs w:val="20"/>
              </w:rPr>
            </w:pPr>
            <w:r w:rsidRPr="00DF2159">
              <w:rPr>
                <w:rFonts w:eastAsia="Times New Roman" w:cs="Arial"/>
                <w:b w:val="0"/>
                <w:color w:val="6D6D6D"/>
                <w:sz w:val="20"/>
                <w:szCs w:val="20"/>
              </w:rPr>
              <w:t>Enid, OK</w:t>
            </w:r>
          </w:p>
        </w:tc>
      </w:tr>
      <w:tr w:rsidR="00DF2159" w:rsidRPr="00DF2159" w:rsidTr="00DF215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  <w:hideMark/>
          </w:tcPr>
          <w:p w:rsidR="00DF2159" w:rsidRPr="00DF2159" w:rsidRDefault="00DF2159" w:rsidP="00F97F6B">
            <w:pPr>
              <w:rPr>
                <w:rFonts w:eastAsia="Times New Roman" w:cs="Arial"/>
                <w:b w:val="0"/>
                <w:color w:val="6D6D6D"/>
                <w:sz w:val="20"/>
                <w:szCs w:val="20"/>
              </w:rPr>
            </w:pPr>
            <w:r w:rsidRPr="00DF2159">
              <w:rPr>
                <w:rFonts w:eastAsia="Times New Roman" w:cs="Arial"/>
                <w:b w:val="0"/>
                <w:color w:val="6D6D6D"/>
                <w:sz w:val="20"/>
                <w:szCs w:val="20"/>
              </w:rPr>
              <w:t>Mechanicsburg, PA</w:t>
            </w:r>
          </w:p>
        </w:tc>
      </w:tr>
      <w:tr w:rsidR="00DF2159" w:rsidRPr="00DF2159" w:rsidTr="00DF215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  <w:hideMark/>
          </w:tcPr>
          <w:p w:rsidR="00DF2159" w:rsidRPr="00DF2159" w:rsidRDefault="00DF2159" w:rsidP="00F97F6B">
            <w:pPr>
              <w:rPr>
                <w:rFonts w:eastAsia="Times New Roman" w:cs="Arial"/>
                <w:b w:val="0"/>
                <w:color w:val="6D6D6D"/>
                <w:sz w:val="20"/>
                <w:szCs w:val="20"/>
              </w:rPr>
            </w:pPr>
            <w:r w:rsidRPr="00DF2159">
              <w:rPr>
                <w:rFonts w:eastAsia="Times New Roman" w:cs="Arial"/>
                <w:b w:val="0"/>
                <w:color w:val="6D6D6D"/>
                <w:sz w:val="20"/>
                <w:szCs w:val="20"/>
              </w:rPr>
              <w:t>Scranton, PA</w:t>
            </w:r>
          </w:p>
        </w:tc>
      </w:tr>
      <w:tr w:rsidR="00DF2159" w:rsidRPr="00DF2159" w:rsidTr="00DF215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  <w:hideMark/>
          </w:tcPr>
          <w:p w:rsidR="00DF2159" w:rsidRPr="00DF2159" w:rsidRDefault="00DF2159" w:rsidP="00F97F6B">
            <w:pPr>
              <w:rPr>
                <w:rFonts w:eastAsia="Times New Roman" w:cs="Arial"/>
                <w:b w:val="0"/>
                <w:color w:val="6D6D6D"/>
                <w:sz w:val="20"/>
                <w:szCs w:val="20"/>
              </w:rPr>
            </w:pPr>
            <w:r w:rsidRPr="00DF2159">
              <w:rPr>
                <w:rFonts w:eastAsia="Times New Roman" w:cs="Arial"/>
                <w:b w:val="0"/>
                <w:color w:val="6D6D6D"/>
                <w:sz w:val="20"/>
                <w:szCs w:val="20"/>
              </w:rPr>
              <w:lastRenderedPageBreak/>
              <w:t>Laredo, TX</w:t>
            </w:r>
          </w:p>
        </w:tc>
      </w:tr>
      <w:tr w:rsidR="00DF2159" w:rsidRPr="00DF2159" w:rsidTr="00DF215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  <w:hideMark/>
          </w:tcPr>
          <w:p w:rsidR="00DF2159" w:rsidRPr="00DF2159" w:rsidRDefault="00DF2159" w:rsidP="00F97F6B">
            <w:pPr>
              <w:rPr>
                <w:rFonts w:eastAsia="Times New Roman" w:cs="Arial"/>
                <w:b w:val="0"/>
                <w:color w:val="6D6D6D"/>
                <w:sz w:val="20"/>
                <w:szCs w:val="20"/>
              </w:rPr>
            </w:pPr>
            <w:r w:rsidRPr="00DF2159">
              <w:rPr>
                <w:rFonts w:eastAsia="Times New Roman" w:cs="Arial"/>
                <w:b w:val="0"/>
                <w:color w:val="6D6D6D"/>
                <w:sz w:val="20"/>
                <w:szCs w:val="20"/>
              </w:rPr>
              <w:t>McAllen, TX</w:t>
            </w:r>
          </w:p>
        </w:tc>
      </w:tr>
      <w:tr w:rsidR="00DF2159" w:rsidRPr="00DF2159" w:rsidTr="00DF215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  <w:hideMark/>
          </w:tcPr>
          <w:p w:rsidR="00DF2159" w:rsidRPr="00DF2159" w:rsidRDefault="00DF2159" w:rsidP="00F97F6B">
            <w:pPr>
              <w:rPr>
                <w:rFonts w:eastAsia="Times New Roman" w:cs="Arial"/>
                <w:b w:val="0"/>
                <w:color w:val="6D6D6D"/>
                <w:sz w:val="20"/>
                <w:szCs w:val="20"/>
              </w:rPr>
            </w:pPr>
            <w:r w:rsidRPr="00DF2159">
              <w:rPr>
                <w:rFonts w:eastAsia="Times New Roman" w:cs="Arial"/>
                <w:b w:val="0"/>
                <w:color w:val="6D6D6D"/>
                <w:sz w:val="20"/>
                <w:szCs w:val="20"/>
              </w:rPr>
              <w:t>Pearsall, TX</w:t>
            </w:r>
          </w:p>
        </w:tc>
      </w:tr>
      <w:tr w:rsidR="00DF2159" w:rsidRPr="00DF2159" w:rsidTr="00DF215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  <w:hideMark/>
          </w:tcPr>
          <w:p w:rsidR="00DF2159" w:rsidRPr="00DF2159" w:rsidRDefault="00DF2159" w:rsidP="00F97F6B">
            <w:pPr>
              <w:rPr>
                <w:rFonts w:eastAsia="Times New Roman" w:cs="Arial"/>
                <w:b w:val="0"/>
                <w:color w:val="6D6D6D"/>
                <w:sz w:val="20"/>
                <w:szCs w:val="20"/>
              </w:rPr>
            </w:pPr>
            <w:r w:rsidRPr="00DF2159">
              <w:rPr>
                <w:rFonts w:eastAsia="Times New Roman" w:cs="Arial"/>
                <w:b w:val="0"/>
                <w:color w:val="6D6D6D"/>
                <w:sz w:val="20"/>
                <w:szCs w:val="20"/>
              </w:rPr>
              <w:t>San Angelo, TX</w:t>
            </w:r>
          </w:p>
        </w:tc>
      </w:tr>
      <w:tr w:rsidR="00DF2159" w:rsidRPr="00DF2159" w:rsidTr="00DF215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  <w:hideMark/>
          </w:tcPr>
          <w:p w:rsidR="00DF2159" w:rsidRPr="00DF2159" w:rsidRDefault="00DF2159" w:rsidP="00F97F6B">
            <w:pPr>
              <w:rPr>
                <w:rFonts w:eastAsia="Times New Roman" w:cs="Arial"/>
                <w:b w:val="0"/>
                <w:color w:val="6D6D6D"/>
                <w:sz w:val="20"/>
                <w:szCs w:val="20"/>
              </w:rPr>
            </w:pPr>
            <w:r w:rsidRPr="00DF2159">
              <w:rPr>
                <w:rFonts w:eastAsia="Times New Roman" w:cs="Arial"/>
                <w:b w:val="0"/>
                <w:color w:val="6D6D6D"/>
                <w:sz w:val="20"/>
                <w:szCs w:val="20"/>
              </w:rPr>
              <w:t>Gillette, WY</w:t>
            </w:r>
          </w:p>
        </w:tc>
      </w:tr>
    </w:tbl>
    <w:p w:rsidR="00B71BE2" w:rsidRPr="005D4B2E" w:rsidRDefault="00B71BE2">
      <w:pPr>
        <w:rPr>
          <w:sz w:val="24"/>
          <w:szCs w:val="24"/>
        </w:rPr>
      </w:pPr>
    </w:p>
    <w:sectPr w:rsidR="00B71BE2" w:rsidRPr="005D4B2E" w:rsidSect="00B71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026C2"/>
    <w:multiLevelType w:val="multilevel"/>
    <w:tmpl w:val="6848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3B"/>
    <w:rsid w:val="000538B9"/>
    <w:rsid w:val="000D4299"/>
    <w:rsid w:val="000F0D13"/>
    <w:rsid w:val="00286D45"/>
    <w:rsid w:val="002D5291"/>
    <w:rsid w:val="003F21DB"/>
    <w:rsid w:val="0051347D"/>
    <w:rsid w:val="00575995"/>
    <w:rsid w:val="005D4B2E"/>
    <w:rsid w:val="006B5011"/>
    <w:rsid w:val="007A4800"/>
    <w:rsid w:val="009219B7"/>
    <w:rsid w:val="0095712F"/>
    <w:rsid w:val="00A53D44"/>
    <w:rsid w:val="00A5534C"/>
    <w:rsid w:val="00A60771"/>
    <w:rsid w:val="00B11087"/>
    <w:rsid w:val="00B71BE2"/>
    <w:rsid w:val="00B9023B"/>
    <w:rsid w:val="00BD25CD"/>
    <w:rsid w:val="00C71BE8"/>
    <w:rsid w:val="00CA4ABC"/>
    <w:rsid w:val="00DF2159"/>
    <w:rsid w:val="00E2455B"/>
    <w:rsid w:val="00F02B96"/>
    <w:rsid w:val="00FB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BE2"/>
  </w:style>
  <w:style w:type="paragraph" w:styleId="Heading2">
    <w:name w:val="heading 2"/>
    <w:basedOn w:val="Normal"/>
    <w:link w:val="Heading2Char"/>
    <w:uiPriority w:val="9"/>
    <w:qFormat/>
    <w:rsid w:val="00B9023B"/>
    <w:pPr>
      <w:spacing w:after="0" w:line="264" w:lineRule="atLeas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023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023B"/>
    <w:rPr>
      <w:b/>
      <w:bCs/>
      <w:i w:val="0"/>
      <w:iCs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9023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2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5D4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5D4B2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BE2"/>
  </w:style>
  <w:style w:type="paragraph" w:styleId="Heading2">
    <w:name w:val="heading 2"/>
    <w:basedOn w:val="Normal"/>
    <w:link w:val="Heading2Char"/>
    <w:uiPriority w:val="9"/>
    <w:qFormat/>
    <w:rsid w:val="00B9023B"/>
    <w:pPr>
      <w:spacing w:after="0" w:line="264" w:lineRule="atLeas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023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023B"/>
    <w:rPr>
      <w:b/>
      <w:bCs/>
      <w:i w:val="0"/>
      <w:iCs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9023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2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5D4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5D4B2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523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a.gov/portal/ext/public/site/FTR/file/Chapter301p011.html/category/2186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sfa.dhs.gov/applications/hot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a.gov/portal/content/10198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GSA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JillDenning</dc:creator>
  <cp:lastModifiedBy>Jill Denning</cp:lastModifiedBy>
  <cp:revision>2</cp:revision>
  <dcterms:created xsi:type="dcterms:W3CDTF">2017-07-24T20:45:00Z</dcterms:created>
  <dcterms:modified xsi:type="dcterms:W3CDTF">2017-07-24T20:45:00Z</dcterms:modified>
</cp:coreProperties>
</file>